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11" w:rsidRPr="008E4AA8" w:rsidRDefault="006A4361">
      <w:pPr>
        <w:spacing w:line="480" w:lineRule="auto"/>
        <w:rPr>
          <w:rFonts w:asciiTheme="majorBidi" w:hAnsiTheme="majorBidi" w:cstheme="majorBidi"/>
          <w:b/>
        </w:rPr>
      </w:pPr>
      <w:r w:rsidRPr="006A4361">
        <w:rPr>
          <w:rFonts w:asciiTheme="majorBidi" w:hAnsiTheme="majorBidi" w:cstheme="majorBidi"/>
          <w:b/>
        </w:rPr>
        <w:t xml:space="preserve">The Cenomanian/Turonian oceanic anoxic event in the Razzak Field, north Western Desert, Egypt: source rock potential and </w:t>
      </w:r>
      <w:proofErr w:type="spellStart"/>
      <w:r w:rsidRPr="006A4361">
        <w:rPr>
          <w:rFonts w:asciiTheme="majorBidi" w:hAnsiTheme="majorBidi" w:cstheme="majorBidi"/>
          <w:b/>
        </w:rPr>
        <w:t>paleoenvironmental</w:t>
      </w:r>
      <w:proofErr w:type="spellEnd"/>
      <w:r w:rsidRPr="006A4361">
        <w:rPr>
          <w:rFonts w:asciiTheme="majorBidi" w:hAnsiTheme="majorBidi" w:cstheme="majorBidi"/>
          <w:b/>
        </w:rPr>
        <w:t xml:space="preserve"> association</w:t>
      </w:r>
    </w:p>
    <w:p w:rsidR="009E25DE" w:rsidRPr="008E4AA8" w:rsidRDefault="009E25DE" w:rsidP="00437EEF">
      <w:pPr>
        <w:spacing w:line="480" w:lineRule="auto"/>
        <w:rPr>
          <w:rFonts w:asciiTheme="majorBidi" w:hAnsiTheme="majorBidi" w:cstheme="majorBidi"/>
        </w:rPr>
      </w:pPr>
    </w:p>
    <w:p w:rsidR="00020BD4" w:rsidRPr="008E4AA8" w:rsidRDefault="006A4361" w:rsidP="002B13C8">
      <w:pPr>
        <w:spacing w:line="480" w:lineRule="auto"/>
        <w:rPr>
          <w:rFonts w:asciiTheme="majorBidi" w:hAnsiTheme="majorBidi" w:cstheme="majorBidi"/>
          <w:vertAlign w:val="superscript"/>
        </w:rPr>
      </w:pPr>
      <w:r w:rsidRPr="006A4361">
        <w:rPr>
          <w:rFonts w:asciiTheme="majorBidi" w:hAnsiTheme="majorBidi" w:cstheme="majorBidi"/>
        </w:rPr>
        <w:t xml:space="preserve">Mohamed K. </w:t>
      </w:r>
      <w:proofErr w:type="spellStart"/>
      <w:r w:rsidRPr="006A4361">
        <w:rPr>
          <w:rFonts w:asciiTheme="majorBidi" w:hAnsiTheme="majorBidi" w:cstheme="majorBidi"/>
        </w:rPr>
        <w:t>Zobaa</w:t>
      </w:r>
      <w:r w:rsidRPr="006A4361">
        <w:rPr>
          <w:rFonts w:asciiTheme="majorBidi" w:hAnsiTheme="majorBidi" w:cstheme="majorBidi"/>
          <w:vertAlign w:val="superscript"/>
        </w:rPr>
        <w:t>a</w:t>
      </w:r>
      <w:proofErr w:type="spellEnd"/>
      <w:r w:rsidRPr="006A4361">
        <w:rPr>
          <w:rFonts w:asciiTheme="majorBidi" w:hAnsiTheme="majorBidi" w:cstheme="majorBidi"/>
          <w:vertAlign w:val="superscript"/>
        </w:rPr>
        <w:t>,*</w:t>
      </w:r>
      <w:r w:rsidRPr="006A4361">
        <w:rPr>
          <w:rFonts w:asciiTheme="majorBidi" w:hAnsiTheme="majorBidi" w:cstheme="majorBidi"/>
        </w:rPr>
        <w:t xml:space="preserve">, Francisca E. </w:t>
      </w:r>
      <w:proofErr w:type="spellStart"/>
      <w:r w:rsidRPr="006A4361">
        <w:rPr>
          <w:rFonts w:asciiTheme="majorBidi" w:hAnsiTheme="majorBidi" w:cstheme="majorBidi"/>
        </w:rPr>
        <w:t>Oboh-Ikuenobe</w:t>
      </w:r>
      <w:r w:rsidRPr="006A4361">
        <w:rPr>
          <w:rFonts w:asciiTheme="majorBidi" w:hAnsiTheme="majorBidi" w:cstheme="majorBidi"/>
          <w:vertAlign w:val="superscript"/>
        </w:rPr>
        <w:t>a</w:t>
      </w:r>
      <w:proofErr w:type="spellEnd"/>
      <w:r w:rsidRPr="006A4361">
        <w:rPr>
          <w:rFonts w:asciiTheme="majorBidi" w:hAnsiTheme="majorBidi" w:cstheme="majorBidi"/>
        </w:rPr>
        <w:t xml:space="preserve">, Mohamed I. </w:t>
      </w:r>
      <w:proofErr w:type="spellStart"/>
      <w:r w:rsidRPr="006A4361">
        <w:rPr>
          <w:rFonts w:asciiTheme="majorBidi" w:hAnsiTheme="majorBidi" w:cstheme="majorBidi"/>
        </w:rPr>
        <w:t>Ibrahim</w:t>
      </w:r>
      <w:r w:rsidRPr="006A4361">
        <w:rPr>
          <w:rFonts w:asciiTheme="majorBidi" w:hAnsiTheme="majorBidi" w:cstheme="majorBidi"/>
          <w:vertAlign w:val="superscript"/>
        </w:rPr>
        <w:t>b</w:t>
      </w:r>
      <w:proofErr w:type="spellEnd"/>
    </w:p>
    <w:p w:rsidR="00020BD4" w:rsidRPr="008E4AA8" w:rsidRDefault="00020BD4">
      <w:pPr>
        <w:spacing w:line="480" w:lineRule="auto"/>
        <w:rPr>
          <w:rFonts w:asciiTheme="majorBidi" w:hAnsiTheme="majorBidi" w:cstheme="majorBidi"/>
          <w:vertAlign w:val="superscript"/>
        </w:rPr>
      </w:pPr>
    </w:p>
    <w:p w:rsidR="00020BD4" w:rsidRPr="008E4AA8" w:rsidRDefault="006A4361">
      <w:pPr>
        <w:spacing w:line="480" w:lineRule="auto"/>
        <w:rPr>
          <w:rFonts w:asciiTheme="majorBidi" w:hAnsiTheme="majorBidi" w:cstheme="majorBidi"/>
        </w:rPr>
      </w:pPr>
      <w:proofErr w:type="gramStart"/>
      <w:r w:rsidRPr="006A4361">
        <w:rPr>
          <w:rFonts w:asciiTheme="majorBidi" w:hAnsiTheme="majorBidi" w:cstheme="majorBidi"/>
          <w:vertAlign w:val="superscript"/>
        </w:rPr>
        <w:t>a</w:t>
      </w:r>
      <w:proofErr w:type="gramEnd"/>
      <w:r w:rsidRPr="006A4361">
        <w:rPr>
          <w:rFonts w:asciiTheme="majorBidi" w:hAnsiTheme="majorBidi" w:cstheme="majorBidi"/>
          <w:vertAlign w:val="superscript"/>
        </w:rPr>
        <w:t xml:space="preserve"> </w:t>
      </w:r>
      <w:r w:rsidRPr="006A4361">
        <w:rPr>
          <w:rFonts w:asciiTheme="majorBidi" w:hAnsiTheme="majorBidi" w:cstheme="majorBidi"/>
        </w:rPr>
        <w:t>Department of Geological Sciences and Engineering, Missouri University of Science and Technology, Rolla, MO 65409, USA</w:t>
      </w:r>
    </w:p>
    <w:p w:rsidR="00AF0508" w:rsidRPr="008E4AA8" w:rsidRDefault="006A4361" w:rsidP="00136CE2">
      <w:pPr>
        <w:widowControl w:val="0"/>
        <w:autoSpaceDE w:val="0"/>
        <w:autoSpaceDN w:val="0"/>
        <w:adjustRightInd w:val="0"/>
        <w:spacing w:line="480" w:lineRule="auto"/>
        <w:rPr>
          <w:rFonts w:asciiTheme="majorBidi" w:hAnsiTheme="majorBidi" w:cstheme="majorBidi"/>
        </w:rPr>
      </w:pPr>
      <w:r w:rsidRPr="006A4361">
        <w:rPr>
          <w:rFonts w:asciiTheme="majorBidi" w:hAnsiTheme="majorBidi" w:cstheme="majorBidi"/>
          <w:vertAlign w:val="superscript"/>
        </w:rPr>
        <w:t>b</w:t>
      </w:r>
      <w:r w:rsidRPr="006A4361">
        <w:rPr>
          <w:rFonts w:asciiTheme="majorBidi" w:hAnsiTheme="majorBidi" w:cstheme="majorBidi"/>
        </w:rPr>
        <w:t xml:space="preserve"> Department of Environmental Sciences, Faculty of Science, Alexandria University , </w:t>
      </w:r>
      <w:proofErr w:type="spellStart"/>
      <w:r w:rsidRPr="006A4361">
        <w:rPr>
          <w:rFonts w:asciiTheme="majorBidi" w:hAnsiTheme="majorBidi" w:cstheme="majorBidi"/>
        </w:rPr>
        <w:t>Moharam</w:t>
      </w:r>
      <w:proofErr w:type="spellEnd"/>
      <w:r w:rsidRPr="006A4361">
        <w:rPr>
          <w:rFonts w:asciiTheme="majorBidi" w:hAnsiTheme="majorBidi" w:cstheme="majorBidi"/>
        </w:rPr>
        <w:t xml:space="preserve"> Bay, Alexandria 21511, Egypt</w:t>
      </w:r>
    </w:p>
    <w:p w:rsidR="00DD52ED" w:rsidRPr="008E4AA8" w:rsidRDefault="00DD52ED" w:rsidP="003E61CF">
      <w:pPr>
        <w:spacing w:line="480" w:lineRule="auto"/>
        <w:rPr>
          <w:rFonts w:asciiTheme="majorBidi" w:hAnsiTheme="majorBidi" w:cstheme="majorBidi"/>
        </w:rPr>
      </w:pPr>
    </w:p>
    <w:p w:rsidR="00E23886" w:rsidRPr="008E4AA8" w:rsidRDefault="00E23886" w:rsidP="00E23886">
      <w:pPr>
        <w:autoSpaceDE w:val="0"/>
        <w:autoSpaceDN w:val="0"/>
        <w:adjustRightInd w:val="0"/>
        <w:spacing w:line="480" w:lineRule="auto"/>
        <w:rPr>
          <w:rFonts w:asciiTheme="majorBidi" w:hAnsiTheme="majorBidi" w:cstheme="majorBidi"/>
          <w:color w:val="000000"/>
        </w:rPr>
      </w:pPr>
      <w:r w:rsidRPr="008E4AA8">
        <w:rPr>
          <w:rFonts w:asciiTheme="majorBidi" w:hAnsiTheme="majorBidi" w:cstheme="majorBidi"/>
          <w:color w:val="000000"/>
        </w:rPr>
        <w:t>* Corresponding author. Tel.: +1</w:t>
      </w:r>
      <w:r w:rsidR="00551DC9">
        <w:rPr>
          <w:rFonts w:asciiTheme="majorBidi" w:hAnsiTheme="majorBidi" w:cstheme="majorBidi"/>
          <w:color w:val="000000"/>
        </w:rPr>
        <w:t xml:space="preserve"> 573-341-6946; fax: +1 </w:t>
      </w:r>
      <w:r w:rsidR="00551DC9">
        <w:rPr>
          <w:rFonts w:asciiTheme="majorBidi" w:hAnsiTheme="majorBidi" w:cstheme="majorBidi"/>
        </w:rPr>
        <w:t>573-341-6935.</w:t>
      </w:r>
    </w:p>
    <w:p w:rsidR="00E23886" w:rsidRPr="008E4AA8" w:rsidRDefault="00551DC9" w:rsidP="00E23886">
      <w:pPr>
        <w:spacing w:line="480" w:lineRule="auto"/>
        <w:rPr>
          <w:rFonts w:asciiTheme="majorBidi" w:hAnsiTheme="majorBidi" w:cstheme="majorBidi"/>
        </w:rPr>
      </w:pPr>
      <w:r>
        <w:rPr>
          <w:rFonts w:asciiTheme="majorBidi" w:hAnsiTheme="majorBidi" w:cstheme="majorBidi"/>
          <w:i/>
          <w:iCs/>
          <w:color w:val="000000"/>
        </w:rPr>
        <w:t>E-mail address</w:t>
      </w:r>
      <w:r>
        <w:rPr>
          <w:rFonts w:asciiTheme="majorBidi" w:hAnsiTheme="majorBidi" w:cstheme="majorBidi"/>
          <w:color w:val="000000"/>
        </w:rPr>
        <w:t xml:space="preserve">: </w:t>
      </w:r>
      <w:r>
        <w:rPr>
          <w:rFonts w:asciiTheme="majorBidi" w:hAnsiTheme="majorBidi" w:cstheme="majorBidi"/>
          <w:color w:val="000066"/>
        </w:rPr>
        <w:t xml:space="preserve">mkzb79@mst.edu </w:t>
      </w:r>
      <w:r>
        <w:rPr>
          <w:rFonts w:asciiTheme="majorBidi" w:hAnsiTheme="majorBidi" w:cstheme="majorBidi"/>
          <w:color w:val="000000"/>
        </w:rPr>
        <w:t>(M.K. Zobaa).</w:t>
      </w:r>
    </w:p>
    <w:p w:rsidR="00C541F7" w:rsidRPr="008E4AA8" w:rsidRDefault="00C541F7">
      <w:pPr>
        <w:spacing w:line="480" w:lineRule="auto"/>
        <w:rPr>
          <w:rFonts w:asciiTheme="majorBidi" w:hAnsiTheme="majorBidi" w:cstheme="majorBidi"/>
          <w:b/>
        </w:rPr>
      </w:pPr>
    </w:p>
    <w:p w:rsidR="00020BD4" w:rsidRPr="008E4AA8" w:rsidRDefault="006A4361">
      <w:pPr>
        <w:spacing w:line="480" w:lineRule="auto"/>
        <w:rPr>
          <w:rFonts w:asciiTheme="majorBidi" w:hAnsiTheme="majorBidi" w:cstheme="majorBidi"/>
          <w:b/>
        </w:rPr>
      </w:pPr>
      <w:r w:rsidRPr="006A4361">
        <w:rPr>
          <w:rFonts w:asciiTheme="majorBidi" w:hAnsiTheme="majorBidi" w:cstheme="majorBidi"/>
          <w:b/>
        </w:rPr>
        <w:t>ABSTRACT</w:t>
      </w:r>
    </w:p>
    <w:p w:rsidR="00020BD4" w:rsidRPr="008E4AA8" w:rsidRDefault="00020BD4">
      <w:pPr>
        <w:spacing w:line="480" w:lineRule="auto"/>
        <w:rPr>
          <w:rFonts w:asciiTheme="majorBidi" w:hAnsiTheme="majorBidi" w:cstheme="majorBidi"/>
        </w:rPr>
      </w:pPr>
    </w:p>
    <w:p w:rsidR="008A3011" w:rsidRPr="008E4AA8" w:rsidRDefault="006A4361" w:rsidP="00467A5B">
      <w:pPr>
        <w:spacing w:line="480" w:lineRule="auto"/>
        <w:rPr>
          <w:rFonts w:asciiTheme="majorBidi" w:hAnsiTheme="majorBidi" w:cstheme="majorBidi"/>
        </w:rPr>
      </w:pPr>
      <w:r w:rsidRPr="006A4361">
        <w:rPr>
          <w:rFonts w:asciiTheme="majorBidi" w:eastAsia="Cambria" w:hAnsiTheme="majorBidi" w:cstheme="majorBidi"/>
          <w:bCs/>
        </w:rPr>
        <w:t xml:space="preserve">The Western Desert of Egypt is one of the world’s most prolific Jurassic and Cretaceous hydrocarbon provinces.  It is one of many basins that experienced organic-rich sedimentation during the late Cenomanian/early Turonian referred to as oceanic anoxic event 2 (OAE2). The Razzak #7 oil well in the Razzak Field in the northern part of the Western Desert encountered the Upper Cretaceous Abu Roash Formation. </w:t>
      </w:r>
      <w:r w:rsidRPr="006A4361">
        <w:rPr>
          <w:rFonts w:asciiTheme="majorBidi" w:hAnsiTheme="majorBidi" w:cstheme="majorBidi"/>
        </w:rPr>
        <w:t xml:space="preserve">This study analyzed 23 samples from the upper “G”, “F”, and lower “E” members of the Abu Roash Formation for palynomorphs, particulate organic matter, total organic carbon (TOC) and </w:t>
      </w:r>
      <w:r w:rsidRPr="006A4361">
        <w:rPr>
          <w:rFonts w:asciiTheme="majorBidi" w:hAnsiTheme="majorBidi" w:cstheme="majorBidi"/>
          <w:lang w:eastAsia="ar-EG" w:bidi="ar-EG"/>
        </w:rPr>
        <w:t>δ</w:t>
      </w:r>
      <w:r w:rsidRPr="006A4361">
        <w:rPr>
          <w:rFonts w:asciiTheme="majorBidi" w:hAnsiTheme="majorBidi" w:cstheme="majorBidi"/>
          <w:vertAlign w:val="superscript"/>
          <w:lang w:eastAsia="ar-EG" w:bidi="ar-EG"/>
        </w:rPr>
        <w:t>13</w:t>
      </w:r>
      <w:r w:rsidRPr="006A4361">
        <w:rPr>
          <w:rFonts w:asciiTheme="majorBidi" w:hAnsiTheme="majorBidi" w:cstheme="majorBidi"/>
          <w:lang w:eastAsia="ar-EG" w:bidi="ar-EG"/>
        </w:rPr>
        <w:t>C</w:t>
      </w:r>
      <w:r w:rsidRPr="006A4361">
        <w:rPr>
          <w:rFonts w:asciiTheme="majorBidi" w:hAnsiTheme="majorBidi" w:cstheme="majorBidi"/>
          <w:vertAlign w:val="subscript"/>
          <w:lang w:eastAsia="ar-EG" w:bidi="ar-EG"/>
        </w:rPr>
        <w:t>org</w:t>
      </w:r>
      <w:r w:rsidRPr="006A4361">
        <w:rPr>
          <w:rFonts w:asciiTheme="majorBidi" w:hAnsiTheme="majorBidi" w:cstheme="majorBidi"/>
        </w:rPr>
        <w:t xml:space="preserve"> in order to identify the OAE2, determine hydrocarbon source rock potential, and interpret the depositional environment. The studied </w:t>
      </w:r>
      <w:r w:rsidRPr="006A4361">
        <w:rPr>
          <w:rFonts w:asciiTheme="majorBidi" w:hAnsiTheme="majorBidi" w:cstheme="majorBidi"/>
        </w:rPr>
        <w:lastRenderedPageBreak/>
        <w:t xml:space="preserve">samples are generally poor in palynomorphs, but show a marked </w:t>
      </w:r>
      <w:proofErr w:type="spellStart"/>
      <w:r w:rsidRPr="006A4361">
        <w:rPr>
          <w:rFonts w:asciiTheme="majorBidi" w:hAnsiTheme="majorBidi" w:cstheme="majorBidi"/>
        </w:rPr>
        <w:t>biofacies</w:t>
      </w:r>
      <w:proofErr w:type="spellEnd"/>
      <w:r w:rsidRPr="006A4361">
        <w:rPr>
          <w:rFonts w:asciiTheme="majorBidi" w:hAnsiTheme="majorBidi" w:cstheme="majorBidi"/>
        </w:rPr>
        <w:t xml:space="preserve"> change between the lower “E” member and the rest of the studied samples. Palynofacies analysis (kerogen quality and quantity) indicates the presence of oil and gas prone materials (kerogen types I and II/III, respectively), and implies reducing marine </w:t>
      </w:r>
      <w:proofErr w:type="spellStart"/>
      <w:r w:rsidRPr="006A4361">
        <w:rPr>
          <w:rFonts w:asciiTheme="majorBidi" w:hAnsiTheme="majorBidi" w:cstheme="majorBidi"/>
        </w:rPr>
        <w:t>paleoenvironmental</w:t>
      </w:r>
      <w:proofErr w:type="spellEnd"/>
      <w:r w:rsidRPr="006A4361">
        <w:rPr>
          <w:rFonts w:asciiTheme="majorBidi" w:hAnsiTheme="majorBidi" w:cstheme="majorBidi"/>
        </w:rPr>
        <w:t xml:space="preserve"> conditions. </w:t>
      </w:r>
      <w:r w:rsidRPr="006A4361">
        <w:rPr>
          <w:rFonts w:asciiTheme="majorBidi" w:hAnsiTheme="majorBidi" w:cstheme="majorBidi"/>
          <w:lang w:eastAsia="ar-EG" w:bidi="ar-EG"/>
        </w:rPr>
        <w:t>Detailed carbon stable isotopic and organic carbon analyses indicate that fluctuations in the δ</w:t>
      </w:r>
      <w:r w:rsidRPr="006A4361">
        <w:rPr>
          <w:rFonts w:asciiTheme="majorBidi" w:hAnsiTheme="majorBidi" w:cstheme="majorBidi"/>
          <w:vertAlign w:val="superscript"/>
          <w:lang w:eastAsia="ar-EG" w:bidi="ar-EG"/>
        </w:rPr>
        <w:t>13</w:t>
      </w:r>
      <w:r w:rsidRPr="006A4361">
        <w:rPr>
          <w:rFonts w:asciiTheme="majorBidi" w:hAnsiTheme="majorBidi" w:cstheme="majorBidi"/>
          <w:lang w:eastAsia="ar-EG" w:bidi="ar-EG"/>
        </w:rPr>
        <w:t>C</w:t>
      </w:r>
      <w:r w:rsidRPr="006A4361">
        <w:rPr>
          <w:rFonts w:asciiTheme="majorBidi" w:hAnsiTheme="majorBidi" w:cstheme="majorBidi"/>
          <w:vertAlign w:val="subscript"/>
          <w:lang w:eastAsia="ar-EG" w:bidi="ar-EG"/>
        </w:rPr>
        <w:t>org</w:t>
      </w:r>
      <w:r w:rsidRPr="006A4361">
        <w:rPr>
          <w:rFonts w:asciiTheme="majorBidi" w:hAnsiTheme="majorBidi" w:cstheme="majorBidi"/>
          <w:lang w:eastAsia="ar-EG" w:bidi="ar-EG"/>
        </w:rPr>
        <w:t xml:space="preserve"> profile across the Abu </w:t>
      </w:r>
      <w:proofErr w:type="spellStart"/>
      <w:r w:rsidRPr="006A4361">
        <w:rPr>
          <w:rFonts w:asciiTheme="majorBidi" w:hAnsiTheme="majorBidi" w:cstheme="majorBidi"/>
          <w:lang w:eastAsia="ar-EG" w:bidi="ar-EG"/>
        </w:rPr>
        <w:t>Roash</w:t>
      </w:r>
      <w:proofErr w:type="spellEnd"/>
      <w:r w:rsidRPr="006A4361">
        <w:rPr>
          <w:rFonts w:asciiTheme="majorBidi" w:hAnsiTheme="majorBidi" w:cstheme="majorBidi"/>
          <w:lang w:eastAsia="ar-EG" w:bidi="ar-EG"/>
        </w:rPr>
        <w:t xml:space="preserve"> </w:t>
      </w:r>
      <w:r w:rsidRPr="006A4361">
        <w:rPr>
          <w:rFonts w:asciiTheme="majorBidi" w:hAnsiTheme="majorBidi" w:cstheme="majorBidi"/>
        </w:rPr>
        <w:t xml:space="preserve">upper “G”, “F”, and lower “E” members </w:t>
      </w:r>
      <w:r w:rsidRPr="006A4361">
        <w:rPr>
          <w:rFonts w:asciiTheme="majorBidi" w:hAnsiTheme="majorBidi" w:cstheme="majorBidi"/>
          <w:lang w:eastAsia="ar-EG" w:bidi="ar-EG"/>
        </w:rPr>
        <w:t>correspond well with changes in TOC values. A positive δ</w:t>
      </w:r>
      <w:r w:rsidRPr="006A4361">
        <w:rPr>
          <w:rFonts w:asciiTheme="majorBidi" w:hAnsiTheme="majorBidi" w:cstheme="majorBidi"/>
          <w:vertAlign w:val="superscript"/>
          <w:lang w:eastAsia="ar-EG" w:bidi="ar-EG"/>
        </w:rPr>
        <w:t>13</w:t>
      </w:r>
      <w:r w:rsidRPr="006A4361">
        <w:rPr>
          <w:rFonts w:asciiTheme="majorBidi" w:hAnsiTheme="majorBidi" w:cstheme="majorBidi"/>
          <w:lang w:eastAsia="ar-EG" w:bidi="ar-EG"/>
        </w:rPr>
        <w:t>C</w:t>
      </w:r>
      <w:r w:rsidRPr="006A4361">
        <w:rPr>
          <w:rFonts w:asciiTheme="majorBidi" w:hAnsiTheme="majorBidi" w:cstheme="majorBidi"/>
          <w:vertAlign w:val="subscript"/>
          <w:lang w:eastAsia="ar-EG" w:bidi="ar-EG"/>
        </w:rPr>
        <w:t>org</w:t>
      </w:r>
      <w:r w:rsidRPr="006A4361">
        <w:rPr>
          <w:rFonts w:asciiTheme="majorBidi" w:hAnsiTheme="majorBidi" w:cstheme="majorBidi"/>
          <w:lang w:eastAsia="ar-EG" w:bidi="ar-EG"/>
        </w:rPr>
        <w:t xml:space="preserve"> excursion (~2.01 ‰) believed to mark the short-term global OAE2 was identified within the organic-rich </w:t>
      </w:r>
      <w:proofErr w:type="spellStart"/>
      <w:r w:rsidRPr="006A4361">
        <w:rPr>
          <w:rFonts w:asciiTheme="majorBidi" w:hAnsiTheme="majorBidi" w:cstheme="majorBidi"/>
          <w:lang w:eastAsia="ar-EG" w:bidi="ar-EG"/>
        </w:rPr>
        <w:t>shaly</w:t>
      </w:r>
      <w:proofErr w:type="spellEnd"/>
      <w:r w:rsidRPr="006A4361">
        <w:rPr>
          <w:rFonts w:asciiTheme="majorBidi" w:hAnsiTheme="majorBidi" w:cstheme="majorBidi"/>
          <w:lang w:eastAsia="ar-EG" w:bidi="ar-EG"/>
        </w:rPr>
        <w:t xml:space="preserve"> limestone in the basal part of the Abu Roash “F” member. This excursion also coincides with the peak TOC measurement (24.61 wt.%) in the samples.</w:t>
      </w:r>
    </w:p>
    <w:p w:rsidR="00020BD4" w:rsidRPr="008E4AA8" w:rsidRDefault="00020BD4">
      <w:pPr>
        <w:spacing w:line="480" w:lineRule="auto"/>
        <w:rPr>
          <w:rFonts w:asciiTheme="majorBidi" w:hAnsiTheme="majorBidi" w:cstheme="majorBidi"/>
        </w:rPr>
      </w:pPr>
    </w:p>
    <w:p w:rsidR="00020BD4" w:rsidRPr="008E4AA8" w:rsidRDefault="006A4361">
      <w:pPr>
        <w:spacing w:line="480" w:lineRule="auto"/>
        <w:rPr>
          <w:rFonts w:asciiTheme="majorBidi" w:hAnsiTheme="majorBidi" w:cstheme="majorBidi"/>
        </w:rPr>
      </w:pPr>
      <w:r w:rsidRPr="006A4361">
        <w:rPr>
          <w:rFonts w:asciiTheme="majorBidi" w:hAnsiTheme="majorBidi" w:cstheme="majorBidi"/>
          <w:b/>
          <w:bCs/>
        </w:rPr>
        <w:t>Keywords:</w:t>
      </w:r>
      <w:r w:rsidRPr="006A4361">
        <w:rPr>
          <w:rFonts w:asciiTheme="majorBidi" w:hAnsiTheme="majorBidi" w:cstheme="majorBidi"/>
        </w:rPr>
        <w:t xml:space="preserve"> </w:t>
      </w:r>
      <w:r w:rsidRPr="006A4361">
        <w:rPr>
          <w:rFonts w:asciiTheme="majorBidi" w:hAnsiTheme="majorBidi" w:cstheme="majorBidi"/>
          <w:lang w:eastAsia="ar-EG" w:bidi="ar-EG"/>
        </w:rPr>
        <w:t xml:space="preserve">OAE2, </w:t>
      </w:r>
      <w:r w:rsidRPr="006A4361">
        <w:rPr>
          <w:rFonts w:asciiTheme="majorBidi" w:hAnsiTheme="majorBidi" w:cstheme="majorBidi"/>
        </w:rPr>
        <w:t xml:space="preserve">Cenomanian/Turonian, palynofacies, </w:t>
      </w:r>
      <w:r w:rsidRPr="006A4361">
        <w:rPr>
          <w:rFonts w:asciiTheme="majorBidi" w:eastAsia="Cambria" w:hAnsiTheme="majorBidi" w:cstheme="majorBidi"/>
          <w:lang w:eastAsia="ar-EG" w:bidi="ar-EG"/>
        </w:rPr>
        <w:t>TOC, δ</w:t>
      </w:r>
      <w:r w:rsidRPr="006A4361">
        <w:rPr>
          <w:rFonts w:asciiTheme="majorBidi" w:eastAsia="Cambria" w:hAnsiTheme="majorBidi" w:cstheme="majorBidi"/>
          <w:vertAlign w:val="superscript"/>
          <w:lang w:eastAsia="ar-EG" w:bidi="ar-EG"/>
        </w:rPr>
        <w:t>13</w:t>
      </w:r>
      <w:r w:rsidRPr="006A4361">
        <w:rPr>
          <w:rFonts w:asciiTheme="majorBidi" w:eastAsia="Cambria" w:hAnsiTheme="majorBidi" w:cstheme="majorBidi"/>
          <w:lang w:eastAsia="ar-EG" w:bidi="ar-EG"/>
        </w:rPr>
        <w:t>C</w:t>
      </w:r>
      <w:r w:rsidRPr="006A4361">
        <w:rPr>
          <w:rFonts w:asciiTheme="majorBidi" w:hAnsiTheme="majorBidi" w:cstheme="majorBidi"/>
          <w:vertAlign w:val="subscript"/>
          <w:lang w:eastAsia="ar-EG" w:bidi="ar-EG"/>
        </w:rPr>
        <w:t>org</w:t>
      </w:r>
      <w:r w:rsidRPr="006A4361">
        <w:rPr>
          <w:rFonts w:asciiTheme="majorBidi" w:hAnsiTheme="majorBidi" w:cstheme="majorBidi"/>
          <w:lang w:eastAsia="ar-EG" w:bidi="ar-EG"/>
        </w:rPr>
        <w:t>,</w:t>
      </w:r>
      <w:r w:rsidRPr="006A4361">
        <w:rPr>
          <w:rFonts w:asciiTheme="majorBidi" w:hAnsiTheme="majorBidi" w:cstheme="majorBidi"/>
        </w:rPr>
        <w:t xml:space="preserve"> Abu Roash Formation</w:t>
      </w:r>
    </w:p>
    <w:p w:rsidR="00020BD4" w:rsidRPr="008E4AA8" w:rsidRDefault="00020BD4">
      <w:pPr>
        <w:spacing w:line="480" w:lineRule="auto"/>
        <w:rPr>
          <w:rFonts w:asciiTheme="majorBidi" w:hAnsiTheme="majorBidi" w:cstheme="majorBidi"/>
        </w:rPr>
      </w:pPr>
    </w:p>
    <w:p w:rsidR="00020BD4" w:rsidRPr="008E4AA8" w:rsidRDefault="006A4361">
      <w:pPr>
        <w:spacing w:line="480" w:lineRule="auto"/>
        <w:rPr>
          <w:rFonts w:asciiTheme="majorBidi" w:hAnsiTheme="majorBidi" w:cstheme="majorBidi"/>
          <w:b/>
        </w:rPr>
      </w:pPr>
      <w:r w:rsidRPr="006A4361">
        <w:rPr>
          <w:rFonts w:asciiTheme="majorBidi" w:hAnsiTheme="majorBidi" w:cstheme="majorBidi"/>
          <w:b/>
        </w:rPr>
        <w:t>1. Introduction</w:t>
      </w:r>
    </w:p>
    <w:p w:rsidR="00687BD6" w:rsidRDefault="006A4361">
      <w:pPr>
        <w:spacing w:line="480" w:lineRule="auto"/>
        <w:ind w:firstLine="720"/>
        <w:rPr>
          <w:rFonts w:asciiTheme="majorBidi" w:eastAsia="Cambria" w:hAnsiTheme="majorBidi" w:cstheme="majorBidi"/>
          <w:bCs/>
        </w:rPr>
      </w:pPr>
      <w:r w:rsidRPr="006A4361">
        <w:rPr>
          <w:rFonts w:asciiTheme="majorBidi" w:eastAsia="Cambria" w:hAnsiTheme="majorBidi" w:cstheme="majorBidi"/>
          <w:bCs/>
        </w:rPr>
        <w:t xml:space="preserve">Egypt has a very long history of oil exploration and production. It is now known that ancient Egyptians used oil from seeps for mummification and coffin protection </w:t>
      </w:r>
      <w:r w:rsidRPr="006A4361">
        <w:rPr>
          <w:rFonts w:asciiTheme="majorBidi" w:hAnsiTheme="majorBidi" w:cstheme="majorBidi"/>
        </w:rPr>
        <w:t>(Schlumberger, 1995)</w:t>
      </w:r>
      <w:r w:rsidRPr="006A4361">
        <w:rPr>
          <w:rFonts w:asciiTheme="majorBidi" w:eastAsia="Cambria" w:hAnsiTheme="majorBidi" w:cstheme="majorBidi"/>
          <w:bCs/>
        </w:rPr>
        <w:t xml:space="preserve">. Today, the </w:t>
      </w:r>
      <w:r w:rsidRPr="006A4361">
        <w:rPr>
          <w:rFonts w:asciiTheme="majorBidi" w:hAnsiTheme="majorBidi" w:cstheme="majorBidi"/>
        </w:rPr>
        <w:t>Mesozoic strata in the Western Desert are among the world’s major hydrocarbon producers</w:t>
      </w:r>
      <w:r w:rsidRPr="006A4361">
        <w:rPr>
          <w:rFonts w:asciiTheme="majorBidi" w:eastAsia="Cambria" w:hAnsiTheme="majorBidi" w:cstheme="majorBidi"/>
          <w:bCs/>
        </w:rPr>
        <w:t xml:space="preserve">. The Razzak Field is located in the northernmost part of the Western Desert (Fig. 1), and represents one of several hydrocarbon discoveries located in this highly faulted sedimentary basin </w:t>
      </w:r>
      <w:r w:rsidRPr="006A4361">
        <w:rPr>
          <w:rFonts w:asciiTheme="majorBidi" w:hAnsiTheme="majorBidi" w:cstheme="majorBidi"/>
        </w:rPr>
        <w:t>(</w:t>
      </w:r>
      <w:proofErr w:type="spellStart"/>
      <w:r w:rsidRPr="006A4361">
        <w:rPr>
          <w:rFonts w:asciiTheme="majorBidi" w:hAnsiTheme="majorBidi" w:cstheme="majorBidi"/>
        </w:rPr>
        <w:t>Shahin</w:t>
      </w:r>
      <w:proofErr w:type="spellEnd"/>
      <w:r w:rsidRPr="006A4361">
        <w:rPr>
          <w:rFonts w:asciiTheme="majorBidi" w:hAnsiTheme="majorBidi" w:cstheme="majorBidi"/>
        </w:rPr>
        <w:t xml:space="preserve"> et al., 1986)</w:t>
      </w:r>
      <w:r w:rsidRPr="006A4361">
        <w:rPr>
          <w:rFonts w:asciiTheme="majorBidi" w:eastAsia="Cambria" w:hAnsiTheme="majorBidi" w:cstheme="majorBidi"/>
          <w:bCs/>
        </w:rPr>
        <w:t xml:space="preserve">. About 70 % of total world petroleum resources are concentrated in the Tethys realm where the basin is located </w:t>
      </w:r>
      <w:r w:rsidRPr="006A4361">
        <w:rPr>
          <w:rFonts w:asciiTheme="majorBidi" w:hAnsiTheme="majorBidi" w:cstheme="majorBidi"/>
        </w:rPr>
        <w:t>(</w:t>
      </w:r>
      <w:proofErr w:type="spellStart"/>
      <w:r w:rsidRPr="006A4361">
        <w:rPr>
          <w:rFonts w:asciiTheme="majorBidi" w:hAnsiTheme="majorBidi" w:cstheme="majorBidi"/>
        </w:rPr>
        <w:t>Ulmishek</w:t>
      </w:r>
      <w:proofErr w:type="spellEnd"/>
      <w:r w:rsidRPr="006A4361">
        <w:rPr>
          <w:rFonts w:asciiTheme="majorBidi" w:hAnsiTheme="majorBidi" w:cstheme="majorBidi"/>
        </w:rPr>
        <w:t xml:space="preserve"> and </w:t>
      </w:r>
      <w:proofErr w:type="spellStart"/>
      <w:r w:rsidRPr="006A4361">
        <w:rPr>
          <w:rFonts w:asciiTheme="majorBidi" w:hAnsiTheme="majorBidi" w:cstheme="majorBidi"/>
        </w:rPr>
        <w:t>Klemme</w:t>
      </w:r>
      <w:proofErr w:type="spellEnd"/>
      <w:r w:rsidRPr="006A4361">
        <w:rPr>
          <w:rFonts w:asciiTheme="majorBidi" w:hAnsiTheme="majorBidi" w:cstheme="majorBidi"/>
        </w:rPr>
        <w:t>, 1990)</w:t>
      </w:r>
      <w:r w:rsidRPr="006A4361">
        <w:rPr>
          <w:rFonts w:asciiTheme="majorBidi" w:eastAsia="Cambria" w:hAnsiTheme="majorBidi" w:cstheme="majorBidi"/>
          <w:bCs/>
        </w:rPr>
        <w:t xml:space="preserve">. During the </w:t>
      </w:r>
      <w:proofErr w:type="spellStart"/>
      <w:r w:rsidRPr="006A4361">
        <w:rPr>
          <w:rFonts w:asciiTheme="majorBidi" w:eastAsia="Cambria" w:hAnsiTheme="majorBidi" w:cstheme="majorBidi"/>
          <w:bCs/>
        </w:rPr>
        <w:t>Cenomanian</w:t>
      </w:r>
      <w:proofErr w:type="spellEnd"/>
      <w:r w:rsidRPr="006A4361">
        <w:rPr>
          <w:rFonts w:asciiTheme="majorBidi" w:eastAsia="Cambria" w:hAnsiTheme="majorBidi" w:cstheme="majorBidi"/>
          <w:bCs/>
        </w:rPr>
        <w:t>/</w:t>
      </w:r>
      <w:proofErr w:type="spellStart"/>
      <w:r w:rsidRPr="006A4361">
        <w:rPr>
          <w:rFonts w:asciiTheme="majorBidi" w:eastAsia="Cambria" w:hAnsiTheme="majorBidi" w:cstheme="majorBidi"/>
          <w:bCs/>
        </w:rPr>
        <w:t>Turonian</w:t>
      </w:r>
      <w:proofErr w:type="spellEnd"/>
      <w:r w:rsidRPr="006A4361">
        <w:rPr>
          <w:rFonts w:asciiTheme="majorBidi" w:eastAsia="Cambria" w:hAnsiTheme="majorBidi" w:cstheme="majorBidi"/>
          <w:bCs/>
        </w:rPr>
        <w:t xml:space="preserve"> (C/T), organic-rich </w:t>
      </w:r>
      <w:proofErr w:type="spellStart"/>
      <w:r w:rsidRPr="006A4361">
        <w:rPr>
          <w:rFonts w:asciiTheme="majorBidi" w:eastAsia="Cambria" w:hAnsiTheme="majorBidi" w:cstheme="majorBidi"/>
          <w:bCs/>
        </w:rPr>
        <w:t>shales</w:t>
      </w:r>
      <w:proofErr w:type="spellEnd"/>
      <w:r w:rsidRPr="006A4361">
        <w:rPr>
          <w:rFonts w:asciiTheme="majorBidi" w:eastAsia="Cambria" w:hAnsiTheme="majorBidi" w:cstheme="majorBidi"/>
          <w:bCs/>
        </w:rPr>
        <w:t xml:space="preserve">, marls and </w:t>
      </w:r>
      <w:proofErr w:type="spellStart"/>
      <w:r w:rsidRPr="006A4361">
        <w:rPr>
          <w:rFonts w:asciiTheme="majorBidi" w:eastAsia="Cambria" w:hAnsiTheme="majorBidi" w:cstheme="majorBidi"/>
          <w:bCs/>
        </w:rPr>
        <w:t>limestones</w:t>
      </w:r>
      <w:proofErr w:type="spellEnd"/>
      <w:r w:rsidRPr="006A4361">
        <w:rPr>
          <w:rFonts w:asciiTheme="majorBidi" w:eastAsia="Cambria" w:hAnsiTheme="majorBidi" w:cstheme="majorBidi"/>
          <w:bCs/>
        </w:rPr>
        <w:t xml:space="preserve"> with TOC contents of locally up to 40 % were deposited on the oxygen-deprived shelf and slope regions </w:t>
      </w:r>
      <w:r w:rsidRPr="006A4361">
        <w:rPr>
          <w:rFonts w:asciiTheme="majorBidi" w:eastAsia="Cambria" w:hAnsiTheme="majorBidi" w:cstheme="majorBidi"/>
          <w:bCs/>
        </w:rPr>
        <w:lastRenderedPageBreak/>
        <w:t>across North Africa and in deep-sea basins of the adjacent oceans</w:t>
      </w:r>
      <w:r w:rsidRPr="006A4361">
        <w:rPr>
          <w:rFonts w:asciiTheme="majorBidi" w:hAnsiTheme="majorBidi" w:cstheme="majorBidi"/>
          <w:bCs/>
        </w:rPr>
        <w:t xml:space="preserve"> </w:t>
      </w:r>
      <w:r w:rsidRPr="006A4361">
        <w:rPr>
          <w:rFonts w:asciiTheme="majorBidi" w:hAnsiTheme="majorBidi" w:cstheme="majorBidi"/>
        </w:rPr>
        <w:t>(</w:t>
      </w:r>
      <w:proofErr w:type="spellStart"/>
      <w:r w:rsidRPr="006A4361">
        <w:rPr>
          <w:rFonts w:asciiTheme="majorBidi" w:hAnsiTheme="majorBidi" w:cstheme="majorBidi"/>
        </w:rPr>
        <w:t>Herbin</w:t>
      </w:r>
      <w:proofErr w:type="spellEnd"/>
      <w:r w:rsidRPr="006A4361">
        <w:rPr>
          <w:rFonts w:asciiTheme="majorBidi" w:hAnsiTheme="majorBidi" w:cstheme="majorBidi"/>
        </w:rPr>
        <w:t xml:space="preserve"> et al., 1986; </w:t>
      </w:r>
      <w:proofErr w:type="spellStart"/>
      <w:r w:rsidRPr="006A4361">
        <w:rPr>
          <w:rFonts w:asciiTheme="majorBidi" w:hAnsiTheme="majorBidi" w:cstheme="majorBidi"/>
        </w:rPr>
        <w:t>Lüning</w:t>
      </w:r>
      <w:proofErr w:type="spellEnd"/>
      <w:r w:rsidRPr="006A4361">
        <w:rPr>
          <w:rFonts w:asciiTheme="majorBidi" w:hAnsiTheme="majorBidi" w:cstheme="majorBidi"/>
        </w:rPr>
        <w:t xml:space="preserve"> et al., 2004)</w:t>
      </w:r>
      <w:r w:rsidRPr="006A4361">
        <w:rPr>
          <w:rFonts w:asciiTheme="majorBidi" w:eastAsia="Cambria" w:hAnsiTheme="majorBidi" w:cstheme="majorBidi"/>
          <w:bCs/>
        </w:rPr>
        <w:t xml:space="preserve">. </w:t>
      </w:r>
      <w:proofErr w:type="spellStart"/>
      <w:r w:rsidRPr="006A4361">
        <w:rPr>
          <w:rFonts w:asciiTheme="majorBidi" w:hAnsiTheme="majorBidi" w:cstheme="majorBidi"/>
        </w:rPr>
        <w:t>Klemme</w:t>
      </w:r>
      <w:proofErr w:type="spellEnd"/>
      <w:r w:rsidRPr="006A4361">
        <w:rPr>
          <w:rFonts w:asciiTheme="majorBidi" w:hAnsiTheme="majorBidi" w:cstheme="majorBidi"/>
        </w:rPr>
        <w:t xml:space="preserve"> and </w:t>
      </w:r>
      <w:proofErr w:type="spellStart"/>
      <w:r w:rsidRPr="006A4361">
        <w:rPr>
          <w:rFonts w:asciiTheme="majorBidi" w:hAnsiTheme="majorBidi" w:cstheme="majorBidi"/>
        </w:rPr>
        <w:t>Ulmishek</w:t>
      </w:r>
      <w:proofErr w:type="spellEnd"/>
      <w:r w:rsidRPr="006A4361">
        <w:rPr>
          <w:rFonts w:asciiTheme="majorBidi" w:hAnsiTheme="majorBidi" w:cstheme="majorBidi"/>
        </w:rPr>
        <w:t xml:space="preserve"> (1991) pointed out that </w:t>
      </w:r>
      <w:proofErr w:type="spellStart"/>
      <w:r w:rsidRPr="006A4361">
        <w:rPr>
          <w:rFonts w:asciiTheme="majorBidi" w:hAnsiTheme="majorBidi" w:cstheme="majorBidi"/>
        </w:rPr>
        <w:t>Aptian−Turonian</w:t>
      </w:r>
      <w:proofErr w:type="spellEnd"/>
      <w:r w:rsidRPr="006A4361">
        <w:rPr>
          <w:rFonts w:asciiTheme="majorBidi" w:hAnsiTheme="majorBidi" w:cstheme="majorBidi"/>
        </w:rPr>
        <w:t xml:space="preserve"> </w:t>
      </w:r>
      <w:r w:rsidRPr="006A4361">
        <w:rPr>
          <w:rFonts w:asciiTheme="majorBidi" w:eastAsia="Cambria" w:hAnsiTheme="majorBidi" w:cstheme="majorBidi"/>
          <w:bCs/>
        </w:rPr>
        <w:t xml:space="preserve">strata, which include layers attributed to the short-term global oceanic anoxic events OAE1a, OAE1b, and OAE2, have sourced almost one-third of the world's hydrocarbon reserves. </w:t>
      </w:r>
    </w:p>
    <w:p w:rsidR="00687BD6" w:rsidRDefault="006A4361">
      <w:pPr>
        <w:spacing w:line="480" w:lineRule="auto"/>
        <w:ind w:firstLine="720"/>
        <w:rPr>
          <w:rFonts w:asciiTheme="majorBidi" w:hAnsiTheme="majorBidi" w:cstheme="majorBidi"/>
        </w:rPr>
      </w:pPr>
      <w:r w:rsidRPr="006A4361">
        <w:rPr>
          <w:rFonts w:asciiTheme="majorBidi" w:eastAsia="Cambria" w:hAnsiTheme="majorBidi" w:cstheme="majorBidi"/>
          <w:bCs/>
        </w:rPr>
        <w:t xml:space="preserve">The </w:t>
      </w:r>
      <w:proofErr w:type="spellStart"/>
      <w:r w:rsidRPr="006A4361">
        <w:rPr>
          <w:rFonts w:asciiTheme="majorBidi" w:eastAsia="Cambria" w:hAnsiTheme="majorBidi" w:cstheme="majorBidi"/>
          <w:bCs/>
        </w:rPr>
        <w:t>Razzak</w:t>
      </w:r>
      <w:proofErr w:type="spellEnd"/>
      <w:r w:rsidRPr="006A4361">
        <w:rPr>
          <w:rFonts w:asciiTheme="majorBidi" w:eastAsia="Cambria" w:hAnsiTheme="majorBidi" w:cstheme="majorBidi"/>
          <w:bCs/>
        </w:rPr>
        <w:t xml:space="preserve"> #7 well penetrates the Upper Cretaceous carbonate-rich Abu Roash Formation (the subject of this paper) as well as the </w:t>
      </w:r>
      <w:proofErr w:type="spellStart"/>
      <w:r w:rsidRPr="006A4361">
        <w:rPr>
          <w:rFonts w:asciiTheme="majorBidi" w:eastAsia="Cambria" w:hAnsiTheme="majorBidi" w:cstheme="majorBidi"/>
          <w:bCs/>
        </w:rPr>
        <w:t>Bahariya</w:t>
      </w:r>
      <w:proofErr w:type="spellEnd"/>
      <w:r w:rsidRPr="006A4361">
        <w:rPr>
          <w:rFonts w:asciiTheme="majorBidi" w:eastAsia="Cambria" w:hAnsiTheme="majorBidi" w:cstheme="majorBidi"/>
          <w:bCs/>
        </w:rPr>
        <w:t xml:space="preserve"> Formation. The </w:t>
      </w:r>
      <w:r w:rsidRPr="006A4361">
        <w:rPr>
          <w:rFonts w:asciiTheme="majorBidi" w:eastAsia="Cambria" w:hAnsiTheme="majorBidi" w:cstheme="majorBidi"/>
          <w:lang w:bidi="ar-EG"/>
        </w:rPr>
        <w:t xml:space="preserve">Abu </w:t>
      </w:r>
      <w:proofErr w:type="spellStart"/>
      <w:r w:rsidRPr="006A4361">
        <w:rPr>
          <w:rFonts w:asciiTheme="majorBidi" w:eastAsia="Cambria" w:hAnsiTheme="majorBidi" w:cstheme="majorBidi"/>
          <w:lang w:bidi="ar-EG"/>
        </w:rPr>
        <w:t>Roash</w:t>
      </w:r>
      <w:proofErr w:type="spellEnd"/>
      <w:r w:rsidRPr="006A4361">
        <w:rPr>
          <w:rFonts w:asciiTheme="majorBidi" w:eastAsia="Cambria" w:hAnsiTheme="majorBidi" w:cstheme="majorBidi"/>
          <w:lang w:bidi="ar-EG"/>
        </w:rPr>
        <w:t xml:space="preserve"> Formation (Fig. 2) is subdivided into seven informal members (“G” to “A”) and was previously dated late </w:t>
      </w:r>
      <w:proofErr w:type="spellStart"/>
      <w:r w:rsidRPr="006A4361">
        <w:rPr>
          <w:rFonts w:asciiTheme="majorBidi" w:eastAsia="Cambria" w:hAnsiTheme="majorBidi" w:cstheme="majorBidi"/>
          <w:lang w:bidi="ar-EG"/>
        </w:rPr>
        <w:t>Cenomanian</w:t>
      </w:r>
      <w:proofErr w:type="spellEnd"/>
      <w:r w:rsidRPr="006A4361">
        <w:rPr>
          <w:rFonts w:asciiTheme="majorBidi" w:eastAsia="Cambria" w:hAnsiTheme="majorBidi" w:cstheme="majorBidi"/>
          <w:lang w:bidi="ar-EG"/>
        </w:rPr>
        <w:t xml:space="preserve"> to </w:t>
      </w:r>
      <w:proofErr w:type="spellStart"/>
      <w:r w:rsidRPr="006A4361">
        <w:rPr>
          <w:rFonts w:asciiTheme="majorBidi" w:eastAsia="Cambria" w:hAnsiTheme="majorBidi" w:cstheme="majorBidi"/>
          <w:lang w:bidi="ar-EG"/>
        </w:rPr>
        <w:t>Santonian</w:t>
      </w:r>
      <w:proofErr w:type="spellEnd"/>
      <w:r w:rsidRPr="006A4361">
        <w:rPr>
          <w:rFonts w:asciiTheme="majorBidi" w:eastAsia="Cambria" w:hAnsiTheme="majorBidi" w:cstheme="majorBidi"/>
          <w:lang w:bidi="ar-EG"/>
        </w:rPr>
        <w:t xml:space="preserve"> based on </w:t>
      </w:r>
      <w:r w:rsidR="00FD51B2">
        <w:rPr>
          <w:rFonts w:asciiTheme="majorBidi" w:eastAsia="Cambria" w:hAnsiTheme="majorBidi" w:cstheme="majorBidi"/>
          <w:lang w:bidi="ar-EG"/>
        </w:rPr>
        <w:t>microfossils</w:t>
      </w:r>
      <w:r w:rsidRPr="006A4361">
        <w:rPr>
          <w:rFonts w:asciiTheme="majorBidi" w:eastAsia="Cambria" w:hAnsiTheme="majorBidi" w:cstheme="majorBidi"/>
          <w:lang w:bidi="ar-EG"/>
        </w:rPr>
        <w:t xml:space="preserve"> such as foraminifera and palynomorphs </w:t>
      </w:r>
      <w:r w:rsidRPr="006A4361">
        <w:rPr>
          <w:rFonts w:asciiTheme="majorBidi" w:hAnsiTheme="majorBidi" w:cstheme="majorBidi"/>
        </w:rPr>
        <w:t xml:space="preserve">(Norton, 1967; Robertson Research International and Associated Research Consultants, 1982; </w:t>
      </w:r>
      <w:proofErr w:type="spellStart"/>
      <w:r w:rsidRPr="006A4361">
        <w:rPr>
          <w:rFonts w:asciiTheme="majorBidi" w:hAnsiTheme="majorBidi" w:cstheme="majorBidi"/>
        </w:rPr>
        <w:t>Hantar</w:t>
      </w:r>
      <w:proofErr w:type="spellEnd"/>
      <w:r w:rsidRPr="006A4361">
        <w:rPr>
          <w:rFonts w:asciiTheme="majorBidi" w:hAnsiTheme="majorBidi" w:cstheme="majorBidi"/>
        </w:rPr>
        <w:t xml:space="preserve">, 1990; </w:t>
      </w:r>
      <w:proofErr w:type="spellStart"/>
      <w:r w:rsidRPr="006A4361">
        <w:rPr>
          <w:rFonts w:asciiTheme="majorBidi" w:hAnsiTheme="majorBidi" w:cstheme="majorBidi"/>
        </w:rPr>
        <w:t>Schrank</w:t>
      </w:r>
      <w:proofErr w:type="spellEnd"/>
      <w:r w:rsidRPr="006A4361">
        <w:rPr>
          <w:rFonts w:asciiTheme="majorBidi" w:hAnsiTheme="majorBidi" w:cstheme="majorBidi"/>
        </w:rPr>
        <w:t xml:space="preserve"> and Ibrahim, 1995; Abdel-</w:t>
      </w:r>
      <w:proofErr w:type="spellStart"/>
      <w:r w:rsidRPr="006A4361">
        <w:rPr>
          <w:rFonts w:asciiTheme="majorBidi" w:hAnsiTheme="majorBidi" w:cstheme="majorBidi"/>
        </w:rPr>
        <w:t>Kireem</w:t>
      </w:r>
      <w:proofErr w:type="spellEnd"/>
      <w:r w:rsidRPr="006A4361">
        <w:rPr>
          <w:rFonts w:asciiTheme="majorBidi" w:hAnsiTheme="majorBidi" w:cstheme="majorBidi"/>
        </w:rPr>
        <w:t xml:space="preserve"> et al., 1995, 1996)</w:t>
      </w:r>
      <w:r w:rsidRPr="006A4361">
        <w:rPr>
          <w:rFonts w:asciiTheme="majorBidi" w:eastAsia="Cambria" w:hAnsiTheme="majorBidi" w:cstheme="majorBidi"/>
          <w:lang w:bidi="ar-EG"/>
        </w:rPr>
        <w:t xml:space="preserve">. </w:t>
      </w:r>
      <w:proofErr w:type="spellStart"/>
      <w:r w:rsidR="00072D25" w:rsidRPr="008E4AA8">
        <w:rPr>
          <w:rFonts w:asciiTheme="majorBidi" w:hAnsiTheme="majorBidi" w:cstheme="majorBidi"/>
        </w:rPr>
        <w:t>Issawi</w:t>
      </w:r>
      <w:proofErr w:type="spellEnd"/>
      <w:r w:rsidR="00072D25" w:rsidRPr="008E4AA8">
        <w:rPr>
          <w:rFonts w:asciiTheme="majorBidi" w:hAnsiTheme="majorBidi" w:cstheme="majorBidi"/>
        </w:rPr>
        <w:t xml:space="preserve"> et al. (1999) stated that the Abu </w:t>
      </w:r>
      <w:proofErr w:type="spellStart"/>
      <w:r w:rsidR="00072D25" w:rsidRPr="008E4AA8">
        <w:rPr>
          <w:rFonts w:asciiTheme="majorBidi" w:hAnsiTheme="majorBidi" w:cstheme="majorBidi"/>
        </w:rPr>
        <w:t>Roash</w:t>
      </w:r>
      <w:proofErr w:type="spellEnd"/>
      <w:r w:rsidR="00072D25" w:rsidRPr="008E4AA8">
        <w:rPr>
          <w:rFonts w:asciiTheme="majorBidi" w:hAnsiTheme="majorBidi" w:cstheme="majorBidi"/>
        </w:rPr>
        <w:t xml:space="preserve"> Formation is </w:t>
      </w:r>
      <w:r w:rsidR="00551DC9">
        <w:rPr>
          <w:rFonts w:asciiTheme="majorBidi" w:hAnsiTheme="majorBidi" w:cstheme="majorBidi"/>
        </w:rPr>
        <w:t xml:space="preserve">mainly represented by a sequence of limestone with shale and sandstone </w:t>
      </w:r>
      <w:proofErr w:type="spellStart"/>
      <w:r w:rsidR="00551DC9">
        <w:rPr>
          <w:rFonts w:asciiTheme="majorBidi" w:hAnsiTheme="majorBidi" w:cstheme="majorBidi"/>
        </w:rPr>
        <w:t>interbeds</w:t>
      </w:r>
      <w:proofErr w:type="spellEnd"/>
      <w:r w:rsidR="00551DC9">
        <w:rPr>
          <w:rFonts w:asciiTheme="majorBidi" w:hAnsiTheme="majorBidi" w:cstheme="majorBidi"/>
        </w:rPr>
        <w:t xml:space="preserve"> that has easily recognizable and well defined members in the subsurface. “B”, “D”, and “F” members are relatively clean carbonate</w:t>
      </w:r>
      <w:r w:rsidR="00FD51B2">
        <w:rPr>
          <w:rFonts w:asciiTheme="majorBidi" w:hAnsiTheme="majorBidi" w:cstheme="majorBidi"/>
        </w:rPr>
        <w:t>s</w:t>
      </w:r>
      <w:r w:rsidR="00551DC9">
        <w:rPr>
          <w:rFonts w:asciiTheme="majorBidi" w:hAnsiTheme="majorBidi" w:cstheme="majorBidi"/>
        </w:rPr>
        <w:t xml:space="preserve">, while “A”, “C”, “E”, and “G” members are largely fine </w:t>
      </w:r>
      <w:proofErr w:type="spellStart"/>
      <w:r w:rsidR="00551DC9">
        <w:rPr>
          <w:rFonts w:asciiTheme="majorBidi" w:hAnsiTheme="majorBidi" w:cstheme="majorBidi"/>
        </w:rPr>
        <w:t>clastics</w:t>
      </w:r>
      <w:proofErr w:type="spellEnd"/>
      <w:r w:rsidR="00551DC9">
        <w:rPr>
          <w:rFonts w:asciiTheme="majorBidi" w:hAnsiTheme="majorBidi" w:cstheme="majorBidi"/>
        </w:rPr>
        <w:t xml:space="preserve">. South of the </w:t>
      </w:r>
      <w:proofErr w:type="spellStart"/>
      <w:r w:rsidR="00551DC9">
        <w:rPr>
          <w:rFonts w:asciiTheme="majorBidi" w:hAnsiTheme="majorBidi" w:cstheme="majorBidi"/>
        </w:rPr>
        <w:t>Razzak</w:t>
      </w:r>
      <w:proofErr w:type="spellEnd"/>
      <w:r w:rsidR="00551DC9">
        <w:rPr>
          <w:rFonts w:asciiTheme="majorBidi" w:hAnsiTheme="majorBidi" w:cstheme="majorBidi"/>
        </w:rPr>
        <w:t xml:space="preserve"> Field, in the Abu </w:t>
      </w:r>
      <w:proofErr w:type="spellStart"/>
      <w:r w:rsidR="00551DC9">
        <w:rPr>
          <w:rFonts w:asciiTheme="majorBidi" w:hAnsiTheme="majorBidi" w:cstheme="majorBidi"/>
        </w:rPr>
        <w:t>Gharadig</w:t>
      </w:r>
      <w:proofErr w:type="spellEnd"/>
      <w:r w:rsidR="00551DC9">
        <w:rPr>
          <w:rFonts w:asciiTheme="majorBidi" w:hAnsiTheme="majorBidi" w:cstheme="majorBidi"/>
        </w:rPr>
        <w:t xml:space="preserve"> Field (Fig. 1), </w:t>
      </w:r>
      <w:proofErr w:type="spellStart"/>
      <w:r w:rsidR="00551DC9">
        <w:rPr>
          <w:rFonts w:asciiTheme="majorBidi" w:hAnsiTheme="majorBidi" w:cstheme="majorBidi"/>
        </w:rPr>
        <w:t>Khaled</w:t>
      </w:r>
      <w:proofErr w:type="spellEnd"/>
      <w:r w:rsidR="00551DC9">
        <w:rPr>
          <w:rFonts w:asciiTheme="majorBidi" w:hAnsiTheme="majorBidi" w:cstheme="majorBidi"/>
        </w:rPr>
        <w:t xml:space="preserve"> (1999) reported that the “G” member is composed of </w:t>
      </w:r>
      <w:proofErr w:type="spellStart"/>
      <w:r w:rsidR="00551DC9">
        <w:rPr>
          <w:rFonts w:asciiTheme="majorBidi" w:hAnsiTheme="majorBidi" w:cstheme="majorBidi"/>
        </w:rPr>
        <w:t>interbedded</w:t>
      </w:r>
      <w:proofErr w:type="spellEnd"/>
      <w:r w:rsidR="00551DC9">
        <w:rPr>
          <w:rFonts w:asciiTheme="majorBidi" w:hAnsiTheme="majorBidi" w:cstheme="majorBidi"/>
        </w:rPr>
        <w:t xml:space="preserve"> </w:t>
      </w:r>
      <w:proofErr w:type="spellStart"/>
      <w:r w:rsidR="00551DC9">
        <w:rPr>
          <w:rFonts w:asciiTheme="majorBidi" w:hAnsiTheme="majorBidi" w:cstheme="majorBidi"/>
        </w:rPr>
        <w:t>limestones</w:t>
      </w:r>
      <w:proofErr w:type="spellEnd"/>
      <w:r w:rsidR="00551DC9">
        <w:rPr>
          <w:rFonts w:asciiTheme="majorBidi" w:hAnsiTheme="majorBidi" w:cstheme="majorBidi"/>
        </w:rPr>
        <w:t xml:space="preserve">, gray to grayish green </w:t>
      </w:r>
      <w:proofErr w:type="spellStart"/>
      <w:r w:rsidR="00551DC9">
        <w:rPr>
          <w:rFonts w:asciiTheme="majorBidi" w:hAnsiTheme="majorBidi" w:cstheme="majorBidi"/>
        </w:rPr>
        <w:t>shales</w:t>
      </w:r>
      <w:proofErr w:type="spellEnd"/>
      <w:r w:rsidR="00551DC9">
        <w:rPr>
          <w:rFonts w:asciiTheme="majorBidi" w:hAnsiTheme="majorBidi" w:cstheme="majorBidi"/>
        </w:rPr>
        <w:t xml:space="preserve">, and siltstones, whereas the “E” member is made up of </w:t>
      </w:r>
      <w:proofErr w:type="spellStart"/>
      <w:r w:rsidR="00551DC9">
        <w:rPr>
          <w:rFonts w:asciiTheme="majorBidi" w:hAnsiTheme="majorBidi" w:cstheme="majorBidi"/>
        </w:rPr>
        <w:t>interbedded</w:t>
      </w:r>
      <w:proofErr w:type="spellEnd"/>
      <w:r w:rsidR="00551DC9">
        <w:rPr>
          <w:rFonts w:asciiTheme="majorBidi" w:hAnsiTheme="majorBidi" w:cstheme="majorBidi"/>
        </w:rPr>
        <w:t xml:space="preserve"> gray to greenish gray </w:t>
      </w:r>
      <w:proofErr w:type="spellStart"/>
      <w:r w:rsidR="00551DC9">
        <w:rPr>
          <w:rFonts w:asciiTheme="majorBidi" w:hAnsiTheme="majorBidi" w:cstheme="majorBidi"/>
        </w:rPr>
        <w:t>shales</w:t>
      </w:r>
      <w:proofErr w:type="spellEnd"/>
      <w:r w:rsidR="00551DC9">
        <w:rPr>
          <w:rFonts w:asciiTheme="majorBidi" w:hAnsiTheme="majorBidi" w:cstheme="majorBidi"/>
        </w:rPr>
        <w:t xml:space="preserve"> and </w:t>
      </w:r>
      <w:proofErr w:type="spellStart"/>
      <w:r w:rsidR="00551DC9">
        <w:rPr>
          <w:rFonts w:asciiTheme="majorBidi" w:hAnsiTheme="majorBidi" w:cstheme="majorBidi"/>
        </w:rPr>
        <w:t>limestones</w:t>
      </w:r>
      <w:proofErr w:type="spellEnd"/>
      <w:r w:rsidR="00551DC9">
        <w:rPr>
          <w:rFonts w:asciiTheme="majorBidi" w:hAnsiTheme="majorBidi" w:cstheme="majorBidi"/>
        </w:rPr>
        <w:t xml:space="preserve">. The Abu </w:t>
      </w:r>
      <w:proofErr w:type="spellStart"/>
      <w:r w:rsidR="00551DC9">
        <w:rPr>
          <w:rFonts w:asciiTheme="majorBidi" w:hAnsiTheme="majorBidi" w:cstheme="majorBidi"/>
        </w:rPr>
        <w:t>Roash</w:t>
      </w:r>
      <w:proofErr w:type="spellEnd"/>
      <w:r w:rsidR="00551DC9">
        <w:rPr>
          <w:rFonts w:asciiTheme="majorBidi" w:hAnsiTheme="majorBidi" w:cstheme="majorBidi"/>
        </w:rPr>
        <w:t xml:space="preserve"> Formation conformably overlies the </w:t>
      </w:r>
      <w:proofErr w:type="spellStart"/>
      <w:r w:rsidR="00551DC9">
        <w:rPr>
          <w:rFonts w:asciiTheme="majorBidi" w:hAnsiTheme="majorBidi" w:cstheme="majorBidi"/>
        </w:rPr>
        <w:t>Bahariya</w:t>
      </w:r>
      <w:proofErr w:type="spellEnd"/>
      <w:r w:rsidR="00551DC9">
        <w:rPr>
          <w:rFonts w:asciiTheme="majorBidi" w:hAnsiTheme="majorBidi" w:cstheme="majorBidi"/>
        </w:rPr>
        <w:t xml:space="preserve"> Formation</w:t>
      </w:r>
      <w:r w:rsidR="0097047A">
        <w:rPr>
          <w:rFonts w:asciiTheme="majorBidi" w:hAnsiTheme="majorBidi" w:cstheme="majorBidi"/>
        </w:rPr>
        <w:t>;</w:t>
      </w:r>
      <w:r w:rsidR="00551DC9">
        <w:rPr>
          <w:rFonts w:asciiTheme="majorBidi" w:hAnsiTheme="majorBidi" w:cstheme="majorBidi"/>
        </w:rPr>
        <w:t xml:space="preserve"> and underlies the </w:t>
      </w:r>
      <w:proofErr w:type="spellStart"/>
      <w:r w:rsidR="00551DC9">
        <w:rPr>
          <w:rFonts w:asciiTheme="majorBidi" w:hAnsiTheme="majorBidi" w:cstheme="majorBidi"/>
        </w:rPr>
        <w:t>Khoman</w:t>
      </w:r>
      <w:proofErr w:type="spellEnd"/>
      <w:r w:rsidR="00551DC9">
        <w:rPr>
          <w:rFonts w:asciiTheme="majorBidi" w:hAnsiTheme="majorBidi" w:cstheme="majorBidi"/>
        </w:rPr>
        <w:t xml:space="preserve"> Formation where the contact is sharp </w:t>
      </w:r>
      <w:proofErr w:type="spellStart"/>
      <w:r w:rsidR="00551DC9">
        <w:rPr>
          <w:rFonts w:asciiTheme="majorBidi" w:hAnsiTheme="majorBidi" w:cstheme="majorBidi"/>
        </w:rPr>
        <w:t>lithologically</w:t>
      </w:r>
      <w:proofErr w:type="spellEnd"/>
      <w:r w:rsidR="00551DC9">
        <w:rPr>
          <w:rFonts w:asciiTheme="majorBidi" w:hAnsiTheme="majorBidi" w:cstheme="majorBidi"/>
        </w:rPr>
        <w:t xml:space="preserve"> and </w:t>
      </w:r>
      <w:proofErr w:type="spellStart"/>
      <w:r w:rsidR="00551DC9">
        <w:rPr>
          <w:rFonts w:asciiTheme="majorBidi" w:hAnsiTheme="majorBidi" w:cstheme="majorBidi"/>
        </w:rPr>
        <w:t>paleontologically</w:t>
      </w:r>
      <w:proofErr w:type="spellEnd"/>
      <w:r w:rsidR="00551DC9">
        <w:rPr>
          <w:rFonts w:asciiTheme="majorBidi" w:hAnsiTheme="majorBidi" w:cstheme="majorBidi"/>
        </w:rPr>
        <w:t xml:space="preserve"> (Fig. 2). The Abu </w:t>
      </w:r>
      <w:proofErr w:type="spellStart"/>
      <w:r w:rsidR="00551DC9">
        <w:rPr>
          <w:rFonts w:asciiTheme="majorBidi" w:hAnsiTheme="majorBidi" w:cstheme="majorBidi"/>
        </w:rPr>
        <w:t>Roash</w:t>
      </w:r>
      <w:proofErr w:type="spellEnd"/>
      <w:r w:rsidR="00551DC9">
        <w:rPr>
          <w:rFonts w:asciiTheme="majorBidi" w:hAnsiTheme="majorBidi" w:cstheme="majorBidi"/>
        </w:rPr>
        <w:t xml:space="preserve"> “G”, “F”, and “E” members are considered to be the most outstanding and prolific source rocks in the Western Desert (Schlumberger, 1995).</w:t>
      </w:r>
    </w:p>
    <w:p w:rsidR="00AF0508" w:rsidRPr="008E4AA8" w:rsidRDefault="006A4361" w:rsidP="007852BD">
      <w:pPr>
        <w:spacing w:line="480" w:lineRule="auto"/>
        <w:ind w:firstLine="720"/>
        <w:rPr>
          <w:rFonts w:asciiTheme="majorBidi" w:eastAsia="Cambria" w:hAnsiTheme="majorBidi" w:cstheme="majorBidi"/>
          <w:bCs/>
        </w:rPr>
      </w:pPr>
      <w:r w:rsidRPr="006A4361">
        <w:rPr>
          <w:rFonts w:asciiTheme="majorBidi" w:eastAsia="Cambria" w:hAnsiTheme="majorBidi" w:cstheme="majorBidi"/>
          <w:bCs/>
        </w:rPr>
        <w:t xml:space="preserve">Several palynological and organic geochemical studies have been published on the </w:t>
      </w:r>
      <w:r w:rsidRPr="006A4361">
        <w:rPr>
          <w:rFonts w:asciiTheme="majorBidi" w:eastAsia="Cambria" w:hAnsiTheme="majorBidi" w:cstheme="majorBidi"/>
          <w:lang w:bidi="ar-EG"/>
        </w:rPr>
        <w:t xml:space="preserve">Abu Roash Formation </w:t>
      </w:r>
      <w:r w:rsidRPr="006A4361">
        <w:rPr>
          <w:rFonts w:asciiTheme="majorBidi" w:eastAsia="Cambria" w:hAnsiTheme="majorBidi" w:cstheme="majorBidi"/>
          <w:bCs/>
        </w:rPr>
        <w:t xml:space="preserve">at many localities in the Western Desert </w:t>
      </w:r>
      <w:r w:rsidRPr="006A4361">
        <w:rPr>
          <w:rFonts w:asciiTheme="majorBidi" w:hAnsiTheme="majorBidi" w:cstheme="majorBidi"/>
        </w:rPr>
        <w:t>(</w:t>
      </w:r>
      <w:proofErr w:type="spellStart"/>
      <w:r w:rsidRPr="006A4361">
        <w:rPr>
          <w:rFonts w:asciiTheme="majorBidi" w:hAnsiTheme="majorBidi" w:cstheme="majorBidi"/>
        </w:rPr>
        <w:t>Barakat</w:t>
      </w:r>
      <w:proofErr w:type="spellEnd"/>
      <w:r w:rsidRPr="006A4361">
        <w:rPr>
          <w:rFonts w:asciiTheme="majorBidi" w:hAnsiTheme="majorBidi" w:cstheme="majorBidi"/>
        </w:rPr>
        <w:t xml:space="preserve"> et al., 1987; El </w:t>
      </w:r>
      <w:proofErr w:type="spellStart"/>
      <w:r w:rsidRPr="006A4361">
        <w:rPr>
          <w:rFonts w:asciiTheme="majorBidi" w:hAnsiTheme="majorBidi" w:cstheme="majorBidi"/>
        </w:rPr>
        <w:t>Beialy</w:t>
      </w:r>
      <w:proofErr w:type="spellEnd"/>
      <w:r w:rsidRPr="006A4361">
        <w:rPr>
          <w:rFonts w:asciiTheme="majorBidi" w:hAnsiTheme="majorBidi" w:cstheme="majorBidi"/>
        </w:rPr>
        <w:t xml:space="preserve">, 1994, </w:t>
      </w:r>
      <w:r w:rsidRPr="006A4361">
        <w:rPr>
          <w:rFonts w:asciiTheme="majorBidi" w:hAnsiTheme="majorBidi" w:cstheme="majorBidi"/>
        </w:rPr>
        <w:lastRenderedPageBreak/>
        <w:t xml:space="preserve">1995; </w:t>
      </w:r>
      <w:proofErr w:type="spellStart"/>
      <w:r w:rsidRPr="006A4361">
        <w:rPr>
          <w:rFonts w:asciiTheme="majorBidi" w:hAnsiTheme="majorBidi" w:cstheme="majorBidi"/>
        </w:rPr>
        <w:t>Schrank</w:t>
      </w:r>
      <w:proofErr w:type="spellEnd"/>
      <w:r w:rsidRPr="006A4361">
        <w:rPr>
          <w:rFonts w:asciiTheme="majorBidi" w:hAnsiTheme="majorBidi" w:cstheme="majorBidi"/>
        </w:rPr>
        <w:t xml:space="preserve"> and Ibrahim, 1995; Ibrahim, 1996, 2002; Zobaa et al., 2008; Ibrahim et al., 2009; El Beialy et al., 2010)</w:t>
      </w:r>
      <w:r w:rsidRPr="006A4361">
        <w:rPr>
          <w:rFonts w:asciiTheme="majorBidi" w:eastAsia="Cambria" w:hAnsiTheme="majorBidi" w:cstheme="majorBidi"/>
          <w:bCs/>
        </w:rPr>
        <w:t xml:space="preserve">. A majority of these studies have focused on the palynomorph contents, </w:t>
      </w:r>
      <w:proofErr w:type="spellStart"/>
      <w:r w:rsidRPr="006A4361">
        <w:rPr>
          <w:rFonts w:asciiTheme="majorBidi" w:eastAsia="Cambria" w:hAnsiTheme="majorBidi" w:cstheme="majorBidi"/>
          <w:bCs/>
        </w:rPr>
        <w:t>palynostratigraphy</w:t>
      </w:r>
      <w:proofErr w:type="spellEnd"/>
      <w:r w:rsidRPr="006A4361">
        <w:rPr>
          <w:rFonts w:asciiTheme="majorBidi" w:eastAsia="Cambria" w:hAnsiTheme="majorBidi" w:cstheme="majorBidi"/>
          <w:bCs/>
        </w:rPr>
        <w:t xml:space="preserve"> and palynofacies of the strata. However, very few of these palynological studies </w:t>
      </w:r>
      <w:r w:rsidRPr="006A4361">
        <w:rPr>
          <w:rFonts w:asciiTheme="majorBidi" w:hAnsiTheme="majorBidi" w:cstheme="majorBidi"/>
        </w:rPr>
        <w:t>(</w:t>
      </w:r>
      <w:proofErr w:type="spellStart"/>
      <w:r w:rsidRPr="006A4361">
        <w:rPr>
          <w:rFonts w:asciiTheme="majorBidi" w:hAnsiTheme="majorBidi" w:cstheme="majorBidi"/>
        </w:rPr>
        <w:t>Barakat</w:t>
      </w:r>
      <w:proofErr w:type="spellEnd"/>
      <w:r w:rsidRPr="006A4361">
        <w:rPr>
          <w:rFonts w:asciiTheme="majorBidi" w:hAnsiTheme="majorBidi" w:cstheme="majorBidi"/>
        </w:rPr>
        <w:t xml:space="preserve"> et al., 1987; Zobaa et al., 2008; El Beialy et al., 2010)</w:t>
      </w:r>
      <w:r w:rsidRPr="006A4361">
        <w:rPr>
          <w:rFonts w:asciiTheme="majorBidi" w:eastAsia="Cambria" w:hAnsiTheme="majorBidi" w:cstheme="majorBidi"/>
          <w:bCs/>
        </w:rPr>
        <w:t xml:space="preserve"> have addressed hydrocarbon source rock potential of the sediments.</w:t>
      </w:r>
    </w:p>
    <w:p w:rsidR="00AF0508" w:rsidRPr="008E4AA8" w:rsidRDefault="006A4361" w:rsidP="0059679F">
      <w:pPr>
        <w:spacing w:line="480" w:lineRule="auto"/>
        <w:ind w:firstLine="720"/>
        <w:rPr>
          <w:rFonts w:asciiTheme="majorBidi" w:eastAsia="Cambria" w:hAnsiTheme="majorBidi" w:cstheme="majorBidi"/>
          <w:bCs/>
        </w:rPr>
      </w:pPr>
      <w:r w:rsidRPr="006A4361">
        <w:rPr>
          <w:rFonts w:asciiTheme="majorBidi" w:eastAsia="Cambria" w:hAnsiTheme="majorBidi" w:cstheme="majorBidi"/>
          <w:bCs/>
        </w:rPr>
        <w:t xml:space="preserve">This paper focuses on the palynofacies and organic geochemistry of the Abu Roash </w:t>
      </w:r>
      <w:r w:rsidRPr="006A4361">
        <w:rPr>
          <w:rFonts w:asciiTheme="majorBidi" w:hAnsiTheme="majorBidi" w:cstheme="majorBidi"/>
        </w:rPr>
        <w:t xml:space="preserve">upper “G”, “F”, and lower “E” members </w:t>
      </w:r>
      <w:r w:rsidRPr="006A4361">
        <w:rPr>
          <w:rFonts w:asciiTheme="majorBidi" w:eastAsia="Cambria" w:hAnsiTheme="majorBidi" w:cstheme="majorBidi"/>
          <w:bCs/>
        </w:rPr>
        <w:t>with the aim of identifying the OAE2 interval in the Razzak Field, which can subsequently be u</w:t>
      </w:r>
      <w:r w:rsidR="0059679F">
        <w:rPr>
          <w:rFonts w:asciiTheme="majorBidi" w:eastAsia="Cambria" w:hAnsiTheme="majorBidi" w:cstheme="majorBidi"/>
          <w:bCs/>
        </w:rPr>
        <w:t>tilized</w:t>
      </w:r>
      <w:r w:rsidRPr="006A4361">
        <w:rPr>
          <w:rFonts w:asciiTheme="majorBidi" w:eastAsia="Cambria" w:hAnsiTheme="majorBidi" w:cstheme="majorBidi"/>
          <w:bCs/>
        </w:rPr>
        <w:t xml:space="preserve"> </w:t>
      </w:r>
      <w:r w:rsidR="0059679F">
        <w:rPr>
          <w:rFonts w:asciiTheme="majorBidi" w:eastAsia="Cambria" w:hAnsiTheme="majorBidi" w:cstheme="majorBidi"/>
          <w:bCs/>
        </w:rPr>
        <w:t xml:space="preserve">1) </w:t>
      </w:r>
      <w:r w:rsidRPr="006A4361">
        <w:rPr>
          <w:rFonts w:asciiTheme="majorBidi" w:eastAsia="Cambria" w:hAnsiTheme="majorBidi" w:cstheme="majorBidi"/>
          <w:bCs/>
        </w:rPr>
        <w:t>as a unique marker for correlation</w:t>
      </w:r>
      <w:r w:rsidR="0059679F">
        <w:rPr>
          <w:rFonts w:asciiTheme="majorBidi" w:eastAsia="Cambria" w:hAnsiTheme="majorBidi" w:cstheme="majorBidi"/>
          <w:bCs/>
        </w:rPr>
        <w:t>,</w:t>
      </w:r>
      <w:r w:rsidRPr="006A4361">
        <w:rPr>
          <w:rFonts w:asciiTheme="majorBidi" w:eastAsia="Cambria" w:hAnsiTheme="majorBidi" w:cstheme="majorBidi"/>
          <w:bCs/>
        </w:rPr>
        <w:t xml:space="preserve"> and</w:t>
      </w:r>
      <w:r w:rsidR="0059679F">
        <w:rPr>
          <w:rFonts w:asciiTheme="majorBidi" w:eastAsia="Cambria" w:hAnsiTheme="majorBidi" w:cstheme="majorBidi"/>
          <w:bCs/>
        </w:rPr>
        <w:t xml:space="preserve"> 2) in </w:t>
      </w:r>
      <w:r w:rsidRPr="006A4361">
        <w:rPr>
          <w:rFonts w:asciiTheme="majorBidi" w:eastAsia="Cambria" w:hAnsiTheme="majorBidi" w:cstheme="majorBidi"/>
          <w:bCs/>
        </w:rPr>
        <w:t xml:space="preserve">constructing a robust </w:t>
      </w:r>
      <w:proofErr w:type="spellStart"/>
      <w:r w:rsidRPr="006A4361">
        <w:rPr>
          <w:rFonts w:asciiTheme="majorBidi" w:eastAsia="Cambria" w:hAnsiTheme="majorBidi" w:cstheme="majorBidi"/>
          <w:bCs/>
        </w:rPr>
        <w:t>chronostratigraphic</w:t>
      </w:r>
      <w:proofErr w:type="spellEnd"/>
      <w:r w:rsidRPr="006A4361">
        <w:rPr>
          <w:rFonts w:asciiTheme="majorBidi" w:eastAsia="Cambria" w:hAnsiTheme="majorBidi" w:cstheme="majorBidi"/>
          <w:bCs/>
        </w:rPr>
        <w:t xml:space="preserve"> and/or </w:t>
      </w:r>
      <w:proofErr w:type="spellStart"/>
      <w:r w:rsidRPr="006A4361">
        <w:rPr>
          <w:rFonts w:asciiTheme="majorBidi" w:eastAsia="Cambria" w:hAnsiTheme="majorBidi" w:cstheme="majorBidi"/>
          <w:bCs/>
        </w:rPr>
        <w:t>chemostratigraphic</w:t>
      </w:r>
      <w:proofErr w:type="spellEnd"/>
      <w:r w:rsidRPr="006A4361">
        <w:rPr>
          <w:rFonts w:asciiTheme="majorBidi" w:eastAsia="Cambria" w:hAnsiTheme="majorBidi" w:cstheme="majorBidi"/>
          <w:bCs/>
        </w:rPr>
        <w:t xml:space="preserve"> framework for the Razzak Field. Particulate organic matter (kerogen), palynomorph, TOC and </w:t>
      </w:r>
      <w:r w:rsidRPr="006A4361">
        <w:rPr>
          <w:rFonts w:asciiTheme="majorBidi" w:hAnsiTheme="majorBidi" w:cstheme="majorBidi"/>
          <w:lang w:eastAsia="ar-EG" w:bidi="ar-EG"/>
        </w:rPr>
        <w:t>δ</w:t>
      </w:r>
      <w:r w:rsidRPr="006A4361">
        <w:rPr>
          <w:rFonts w:asciiTheme="majorBidi" w:hAnsiTheme="majorBidi" w:cstheme="majorBidi"/>
          <w:vertAlign w:val="superscript"/>
          <w:lang w:eastAsia="ar-EG" w:bidi="ar-EG"/>
        </w:rPr>
        <w:t>13</w:t>
      </w:r>
      <w:r w:rsidRPr="006A4361">
        <w:rPr>
          <w:rFonts w:asciiTheme="majorBidi" w:hAnsiTheme="majorBidi" w:cstheme="majorBidi"/>
          <w:lang w:eastAsia="ar-EG" w:bidi="ar-EG"/>
        </w:rPr>
        <w:t>C</w:t>
      </w:r>
      <w:r w:rsidRPr="006A4361">
        <w:rPr>
          <w:rFonts w:asciiTheme="majorBidi" w:hAnsiTheme="majorBidi" w:cstheme="majorBidi"/>
          <w:vertAlign w:val="subscript"/>
          <w:lang w:eastAsia="ar-EG" w:bidi="ar-EG"/>
        </w:rPr>
        <w:t>org</w:t>
      </w:r>
      <w:r w:rsidRPr="006A4361">
        <w:rPr>
          <w:rFonts w:asciiTheme="majorBidi" w:eastAsia="Cambria" w:hAnsiTheme="majorBidi" w:cstheme="majorBidi"/>
          <w:bCs/>
        </w:rPr>
        <w:t xml:space="preserve"> analyses provide data used for interpreting source rock potential and </w:t>
      </w:r>
      <w:proofErr w:type="spellStart"/>
      <w:r w:rsidRPr="006A4361">
        <w:rPr>
          <w:rFonts w:asciiTheme="majorBidi" w:eastAsia="Cambria" w:hAnsiTheme="majorBidi" w:cstheme="majorBidi"/>
          <w:bCs/>
        </w:rPr>
        <w:t>paleoenvironmental</w:t>
      </w:r>
      <w:proofErr w:type="spellEnd"/>
      <w:r w:rsidRPr="006A4361">
        <w:rPr>
          <w:rFonts w:asciiTheme="majorBidi" w:eastAsia="Cambria" w:hAnsiTheme="majorBidi" w:cstheme="majorBidi"/>
          <w:bCs/>
        </w:rPr>
        <w:t xml:space="preserve"> conditions, thereby contributing to our understanding of the hydrocarbon and geological evolution of the Western Desert in general, and the Razzak Field in particular.</w:t>
      </w:r>
    </w:p>
    <w:p w:rsidR="00A17594" w:rsidRPr="008E4AA8" w:rsidRDefault="00A17594" w:rsidP="00437EEF">
      <w:pPr>
        <w:spacing w:line="480" w:lineRule="auto"/>
        <w:rPr>
          <w:rFonts w:asciiTheme="majorBidi" w:hAnsiTheme="majorBidi" w:cstheme="majorBidi"/>
          <w:b/>
        </w:rPr>
      </w:pPr>
    </w:p>
    <w:p w:rsidR="00DD52ED" w:rsidRPr="008E4AA8" w:rsidRDefault="006A4361" w:rsidP="00437EEF">
      <w:pPr>
        <w:spacing w:line="480" w:lineRule="auto"/>
        <w:rPr>
          <w:rFonts w:asciiTheme="majorBidi" w:hAnsiTheme="majorBidi" w:cstheme="majorBidi"/>
          <w:b/>
        </w:rPr>
      </w:pPr>
      <w:r w:rsidRPr="006A4361">
        <w:rPr>
          <w:rFonts w:asciiTheme="majorBidi" w:hAnsiTheme="majorBidi" w:cstheme="majorBidi"/>
          <w:b/>
        </w:rPr>
        <w:t>2. Material and methods</w:t>
      </w:r>
    </w:p>
    <w:p w:rsidR="00687BD6" w:rsidRDefault="006A4361">
      <w:pPr>
        <w:spacing w:line="480" w:lineRule="auto"/>
        <w:ind w:firstLine="720"/>
        <w:rPr>
          <w:rFonts w:asciiTheme="majorBidi" w:hAnsiTheme="majorBidi" w:cstheme="majorBidi"/>
        </w:rPr>
      </w:pPr>
      <w:r w:rsidRPr="006A4361">
        <w:rPr>
          <w:rFonts w:asciiTheme="majorBidi" w:hAnsiTheme="majorBidi" w:cstheme="majorBidi"/>
        </w:rPr>
        <w:t xml:space="preserve">Twenty-three cutting samples from the </w:t>
      </w:r>
      <w:r w:rsidRPr="006A4361">
        <w:rPr>
          <w:rFonts w:asciiTheme="majorBidi" w:eastAsia="Cambria" w:hAnsiTheme="majorBidi" w:cstheme="majorBidi"/>
          <w:bCs/>
        </w:rPr>
        <w:t xml:space="preserve">Abu Roash upper “G”, “F”, and lower “E” members were processed </w:t>
      </w:r>
      <w:r w:rsidRPr="006A4361">
        <w:rPr>
          <w:rFonts w:asciiTheme="majorBidi" w:hAnsiTheme="majorBidi" w:cstheme="majorBidi"/>
        </w:rPr>
        <w:t xml:space="preserve">for palynological contents and organic geochemistry. Palynological processing involved digestion of samples in hydrochloric and hydrofluoric acids to remove carbonates, silicates, and fluorides </w:t>
      </w:r>
      <w:r w:rsidR="00EA1210">
        <w:rPr>
          <w:rFonts w:asciiTheme="majorBidi" w:hAnsiTheme="majorBidi" w:cstheme="majorBidi"/>
        </w:rPr>
        <w:t xml:space="preserve">(resulting from </w:t>
      </w:r>
      <w:r w:rsidR="0059679F">
        <w:rPr>
          <w:rFonts w:asciiTheme="majorBidi" w:hAnsiTheme="majorBidi" w:cstheme="majorBidi"/>
        </w:rPr>
        <w:t>hydrofluoric acid</w:t>
      </w:r>
      <w:r w:rsidR="00EA1210">
        <w:rPr>
          <w:rFonts w:asciiTheme="majorBidi" w:hAnsiTheme="majorBidi" w:cstheme="majorBidi"/>
        </w:rPr>
        <w:t xml:space="preserve"> treatment) </w:t>
      </w:r>
      <w:r w:rsidRPr="006A4361">
        <w:rPr>
          <w:rFonts w:asciiTheme="majorBidi" w:hAnsiTheme="majorBidi" w:cstheme="majorBidi"/>
        </w:rPr>
        <w:t>from the sediments (Traverse, 2007). Acid digestion was followed by preparation of kerogen slides for palynofacies analysis. The remaining residues were centrifuged in heavy liquid (ZnBr</w:t>
      </w:r>
      <w:r w:rsidRPr="006A4361">
        <w:rPr>
          <w:rFonts w:asciiTheme="majorBidi" w:hAnsiTheme="majorBidi" w:cstheme="majorBidi"/>
          <w:vertAlign w:val="subscript"/>
        </w:rPr>
        <w:t>2</w:t>
      </w:r>
      <w:r w:rsidRPr="006A4361">
        <w:rPr>
          <w:rFonts w:asciiTheme="majorBidi" w:hAnsiTheme="majorBidi" w:cstheme="majorBidi"/>
        </w:rPr>
        <w:t xml:space="preserve">), screened through 10 µm nylon sieves, and used to prepare additional slides to identify palynomorphs in the samples. Transmitted light microscopy was used to scan the slides for their </w:t>
      </w:r>
      <w:r w:rsidRPr="006A4361">
        <w:rPr>
          <w:rFonts w:asciiTheme="majorBidi" w:hAnsiTheme="majorBidi" w:cstheme="majorBidi"/>
        </w:rPr>
        <w:lastRenderedPageBreak/>
        <w:t>palynological contents. Two-hundred particulate organic matter particles (each with a minimum size of 5 µm) were point counted per kerogen slide and used for palynofacies analysis. All palynological slides and residues used for this study are stored in the palynological collection at Missouri University of Science and Technology.</w:t>
      </w:r>
    </w:p>
    <w:p w:rsidR="00687BD6" w:rsidRDefault="006A4361">
      <w:pPr>
        <w:spacing w:line="480" w:lineRule="auto"/>
        <w:ind w:firstLine="720"/>
        <w:rPr>
          <w:rFonts w:asciiTheme="majorBidi" w:hAnsiTheme="majorBidi" w:cstheme="majorBidi"/>
        </w:rPr>
      </w:pPr>
      <w:r w:rsidRPr="006A4361">
        <w:rPr>
          <w:rFonts w:asciiTheme="majorBidi" w:hAnsiTheme="majorBidi" w:cstheme="majorBidi"/>
          <w:lang w:eastAsia="ar-EG" w:bidi="ar-EG"/>
        </w:rPr>
        <w:t>Carbon isotopic</w:t>
      </w:r>
      <w:r w:rsidRPr="006A4361">
        <w:rPr>
          <w:rFonts w:asciiTheme="majorBidi" w:hAnsiTheme="majorBidi" w:cstheme="majorBidi"/>
        </w:rPr>
        <w:t xml:space="preserve"> and TOC analyses were performed at the Stable Isotope Mass Spectrometer Laboratory, University of Florida. </w:t>
      </w:r>
      <w:r w:rsidR="00821305">
        <w:rPr>
          <w:rFonts w:asciiTheme="majorBidi" w:hAnsiTheme="majorBidi" w:cstheme="majorBidi"/>
        </w:rPr>
        <w:t>S</w:t>
      </w:r>
      <w:r w:rsidRPr="006A4361">
        <w:rPr>
          <w:rFonts w:asciiTheme="majorBidi" w:hAnsiTheme="majorBidi" w:cstheme="majorBidi"/>
        </w:rPr>
        <w:t xml:space="preserve">amples were acidified with </w:t>
      </w:r>
      <w:r w:rsidR="0059679F" w:rsidRPr="00260435">
        <w:rPr>
          <w:rFonts w:asciiTheme="majorBidi" w:hAnsiTheme="majorBidi" w:cstheme="majorBidi"/>
        </w:rPr>
        <w:t>hydrochloric</w:t>
      </w:r>
      <w:r>
        <w:rPr>
          <w:rFonts w:asciiTheme="majorBidi" w:hAnsiTheme="majorBidi" w:cstheme="majorBidi"/>
        </w:rPr>
        <w:t xml:space="preserve"> </w:t>
      </w:r>
      <w:r w:rsidR="0059679F">
        <w:rPr>
          <w:rFonts w:asciiTheme="majorBidi" w:hAnsiTheme="majorBidi" w:cstheme="majorBidi"/>
        </w:rPr>
        <w:t xml:space="preserve">acid </w:t>
      </w:r>
      <w:r w:rsidRPr="006A4361">
        <w:rPr>
          <w:rFonts w:asciiTheme="majorBidi" w:hAnsiTheme="majorBidi" w:cstheme="majorBidi"/>
        </w:rPr>
        <w:t xml:space="preserve">to remove the inorganic carbon fraction. </w:t>
      </w:r>
      <w:r w:rsidR="005C0109">
        <w:rPr>
          <w:rFonts w:asciiTheme="majorBidi" w:hAnsiTheme="majorBidi" w:cstheme="majorBidi"/>
        </w:rPr>
        <w:t>They</w:t>
      </w:r>
      <w:r w:rsidRPr="006A4361">
        <w:rPr>
          <w:rFonts w:asciiTheme="majorBidi" w:hAnsiTheme="majorBidi" w:cstheme="majorBidi"/>
        </w:rPr>
        <w:t xml:space="preserve"> were then rinsed with water three times, dried at 50° C, and ground. Percentage of the organic carbon was measured using a Carlo </w:t>
      </w:r>
      <w:proofErr w:type="spellStart"/>
      <w:r w:rsidRPr="006A4361">
        <w:rPr>
          <w:rFonts w:asciiTheme="majorBidi" w:hAnsiTheme="majorBidi" w:cstheme="majorBidi"/>
        </w:rPr>
        <w:t>Erba</w:t>
      </w:r>
      <w:proofErr w:type="spellEnd"/>
      <w:r w:rsidRPr="006A4361">
        <w:rPr>
          <w:rFonts w:asciiTheme="majorBidi" w:hAnsiTheme="majorBidi" w:cstheme="majorBidi"/>
        </w:rPr>
        <w:t xml:space="preserve"> NA1500 CNS elemental analyzer. Carbon (</w:t>
      </w:r>
      <w:r w:rsidRPr="006A4361">
        <w:rPr>
          <w:rFonts w:asciiTheme="majorBidi" w:hAnsiTheme="majorBidi" w:cstheme="majorBidi"/>
          <w:lang w:eastAsia="ar-EG" w:bidi="ar-EG"/>
        </w:rPr>
        <w:t>δ</w:t>
      </w:r>
      <w:r w:rsidRPr="006A4361">
        <w:rPr>
          <w:rFonts w:asciiTheme="majorBidi" w:hAnsiTheme="majorBidi" w:cstheme="majorBidi"/>
          <w:vertAlign w:val="superscript"/>
          <w:lang w:eastAsia="ar-EG" w:bidi="ar-EG"/>
        </w:rPr>
        <w:t>13</w:t>
      </w:r>
      <w:r w:rsidRPr="006A4361">
        <w:rPr>
          <w:rFonts w:asciiTheme="majorBidi" w:hAnsiTheme="majorBidi" w:cstheme="majorBidi"/>
          <w:lang w:eastAsia="ar-EG" w:bidi="ar-EG"/>
        </w:rPr>
        <w:t>C</w:t>
      </w:r>
      <w:r w:rsidRPr="006A4361">
        <w:rPr>
          <w:rFonts w:asciiTheme="majorBidi" w:hAnsiTheme="majorBidi" w:cstheme="majorBidi"/>
          <w:vertAlign w:val="subscript"/>
          <w:lang w:eastAsia="ar-EG" w:bidi="ar-EG"/>
        </w:rPr>
        <w:t>org</w:t>
      </w:r>
      <w:r w:rsidRPr="006A4361">
        <w:rPr>
          <w:rFonts w:asciiTheme="majorBidi" w:hAnsiTheme="majorBidi" w:cstheme="majorBidi"/>
        </w:rPr>
        <w:t xml:space="preserve">) isotope was measured using a Thermo </w:t>
      </w:r>
      <w:proofErr w:type="spellStart"/>
      <w:r w:rsidRPr="006A4361">
        <w:rPr>
          <w:rFonts w:asciiTheme="majorBidi" w:hAnsiTheme="majorBidi" w:cstheme="majorBidi"/>
        </w:rPr>
        <w:t>Finnigan</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DeltaPlus</w:t>
      </w:r>
      <w:proofErr w:type="spellEnd"/>
      <w:r w:rsidR="005C0109">
        <w:rPr>
          <w:rFonts w:asciiTheme="majorBidi" w:hAnsiTheme="majorBidi" w:cstheme="majorBidi"/>
        </w:rPr>
        <w:t xml:space="preserve"> </w:t>
      </w:r>
      <w:r w:rsidRPr="006A4361">
        <w:rPr>
          <w:rFonts w:asciiTheme="majorBidi" w:hAnsiTheme="majorBidi" w:cstheme="majorBidi"/>
        </w:rPr>
        <w:t xml:space="preserve">XL isotope ratio mass spectrometer with a </w:t>
      </w:r>
      <w:proofErr w:type="spellStart"/>
      <w:r w:rsidRPr="006A4361">
        <w:rPr>
          <w:rFonts w:asciiTheme="majorBidi" w:hAnsiTheme="majorBidi" w:cstheme="majorBidi"/>
        </w:rPr>
        <w:t>ConFlo</w:t>
      </w:r>
      <w:proofErr w:type="spellEnd"/>
      <w:r w:rsidRPr="006A4361">
        <w:rPr>
          <w:rFonts w:asciiTheme="majorBidi" w:hAnsiTheme="majorBidi" w:cstheme="majorBidi"/>
        </w:rPr>
        <w:t xml:space="preserve"> III interface linked to a</w:t>
      </w:r>
      <w:r w:rsidR="005C0109">
        <w:rPr>
          <w:rFonts w:asciiTheme="majorBidi" w:hAnsiTheme="majorBidi" w:cstheme="majorBidi"/>
        </w:rPr>
        <w:t xml:space="preserve"> </w:t>
      </w:r>
      <w:proofErr w:type="spellStart"/>
      <w:r w:rsidRPr="006A4361">
        <w:rPr>
          <w:rFonts w:asciiTheme="majorBidi" w:hAnsiTheme="majorBidi" w:cstheme="majorBidi"/>
        </w:rPr>
        <w:t>Costech</w:t>
      </w:r>
      <w:proofErr w:type="spellEnd"/>
      <w:r w:rsidRPr="006A4361">
        <w:rPr>
          <w:rFonts w:asciiTheme="majorBidi" w:hAnsiTheme="majorBidi" w:cstheme="majorBidi"/>
        </w:rPr>
        <w:t xml:space="preserve"> ECS 4010 Elemental Combustion</w:t>
      </w:r>
      <w:r w:rsidR="005C0109">
        <w:rPr>
          <w:rFonts w:asciiTheme="majorBidi" w:hAnsiTheme="majorBidi" w:cstheme="majorBidi"/>
        </w:rPr>
        <w:t xml:space="preserve"> </w:t>
      </w:r>
      <w:r w:rsidRPr="006A4361">
        <w:rPr>
          <w:rFonts w:asciiTheme="majorBidi" w:hAnsiTheme="majorBidi" w:cstheme="majorBidi"/>
        </w:rPr>
        <w:t xml:space="preserve">System with Zero Blank </w:t>
      </w:r>
      <w:proofErr w:type="spellStart"/>
      <w:r w:rsidRPr="006A4361">
        <w:rPr>
          <w:rFonts w:asciiTheme="majorBidi" w:hAnsiTheme="majorBidi" w:cstheme="majorBidi"/>
        </w:rPr>
        <w:t>autosampler</w:t>
      </w:r>
      <w:proofErr w:type="spellEnd"/>
      <w:r w:rsidRPr="006A4361">
        <w:rPr>
          <w:rFonts w:asciiTheme="majorBidi" w:hAnsiTheme="majorBidi" w:cstheme="majorBidi"/>
        </w:rPr>
        <w:t xml:space="preserve"> (elemental analyzer).</w:t>
      </w:r>
    </w:p>
    <w:p w:rsidR="00687BD6" w:rsidRDefault="00687BD6">
      <w:pPr>
        <w:spacing w:line="480" w:lineRule="auto"/>
        <w:ind w:firstLine="720"/>
        <w:rPr>
          <w:rFonts w:asciiTheme="majorBidi" w:hAnsiTheme="majorBidi" w:cstheme="majorBidi"/>
          <w:b/>
        </w:rPr>
      </w:pPr>
    </w:p>
    <w:p w:rsidR="00DD52ED" w:rsidRPr="008E4AA8" w:rsidRDefault="006A4361" w:rsidP="00437EEF">
      <w:pPr>
        <w:spacing w:line="480" w:lineRule="auto"/>
        <w:rPr>
          <w:rFonts w:asciiTheme="majorBidi" w:hAnsiTheme="majorBidi" w:cstheme="majorBidi"/>
          <w:b/>
        </w:rPr>
      </w:pPr>
      <w:r w:rsidRPr="006A4361">
        <w:rPr>
          <w:rFonts w:asciiTheme="majorBidi" w:hAnsiTheme="majorBidi" w:cstheme="majorBidi"/>
          <w:b/>
        </w:rPr>
        <w:t>3. Results</w:t>
      </w:r>
    </w:p>
    <w:p w:rsidR="008A3011" w:rsidRPr="008E4AA8" w:rsidRDefault="006A4361" w:rsidP="00755D71">
      <w:pPr>
        <w:spacing w:line="480" w:lineRule="auto"/>
        <w:ind w:firstLine="720"/>
        <w:rPr>
          <w:rFonts w:asciiTheme="majorBidi" w:hAnsiTheme="majorBidi" w:cstheme="majorBidi"/>
        </w:rPr>
      </w:pPr>
      <w:r w:rsidRPr="006A4361">
        <w:rPr>
          <w:rFonts w:asciiTheme="majorBidi" w:hAnsiTheme="majorBidi" w:cstheme="majorBidi"/>
        </w:rPr>
        <w:t>The types of particulate organic matter identified are palynomorphs, phytoclasts, opaques, and amorphous organic matter (AOM) (Plate 1). Marine and terrestrially derived palynomorphs are mostly absent in the Abu Roash upper “G” and lower “F” members, increasing very slightly up-section (up to 2.7 % in sample 49). Phytoclasts are common constituents (14.3</w:t>
      </w:r>
      <w:r w:rsidRPr="006A4361">
        <w:rPr>
          <w:rFonts w:asciiTheme="majorBidi" w:eastAsia="Cambria" w:hAnsiTheme="majorBidi" w:cstheme="majorBidi"/>
          <w:lang w:bidi="ar-EG"/>
        </w:rPr>
        <w:t>–</w:t>
      </w:r>
      <w:r w:rsidRPr="006A4361">
        <w:rPr>
          <w:rFonts w:asciiTheme="majorBidi" w:hAnsiTheme="majorBidi" w:cstheme="majorBidi"/>
        </w:rPr>
        <w:t xml:space="preserve"> 51.3 %) of the upper “F” and lower “E” members, mainly as degraded and comminuted </w:t>
      </w:r>
      <w:proofErr w:type="spellStart"/>
      <w:r w:rsidRPr="006A4361">
        <w:rPr>
          <w:rFonts w:asciiTheme="majorBidi" w:hAnsiTheme="majorBidi" w:cstheme="majorBidi"/>
        </w:rPr>
        <w:t>clasts</w:t>
      </w:r>
      <w:proofErr w:type="spellEnd"/>
      <w:r w:rsidRPr="006A4361">
        <w:rPr>
          <w:rFonts w:asciiTheme="majorBidi" w:hAnsiTheme="majorBidi" w:cstheme="majorBidi"/>
        </w:rPr>
        <w:t xml:space="preserve"> (Fig. 3</w:t>
      </w:r>
      <w:r w:rsidR="007B5FF7">
        <w:rPr>
          <w:rFonts w:asciiTheme="majorBidi" w:hAnsiTheme="majorBidi" w:cstheme="majorBidi"/>
        </w:rPr>
        <w:t>; Appendix Table 1</w:t>
      </w:r>
      <w:r w:rsidRPr="006A4361">
        <w:rPr>
          <w:rFonts w:asciiTheme="majorBidi" w:hAnsiTheme="majorBidi" w:cstheme="majorBidi"/>
        </w:rPr>
        <w:t xml:space="preserve">). However, some structured </w:t>
      </w:r>
      <w:r w:rsidRPr="006A4361">
        <w:rPr>
          <w:rFonts w:asciiTheme="majorBidi" w:hAnsiTheme="majorBidi" w:cstheme="majorBidi"/>
          <w:bCs/>
        </w:rPr>
        <w:t>terrestrial plant fragments such as cuticle, wood tracheid and cortex tissues</w:t>
      </w:r>
      <w:r w:rsidRPr="006A4361">
        <w:rPr>
          <w:rFonts w:asciiTheme="majorBidi" w:hAnsiTheme="majorBidi" w:cstheme="majorBidi"/>
        </w:rPr>
        <w:t xml:space="preserve"> are also preserved (Plate 1). Opaques (black debris) are </w:t>
      </w:r>
      <w:r w:rsidRPr="006A4361">
        <w:rPr>
          <w:rFonts w:asciiTheme="majorBidi" w:hAnsiTheme="majorBidi" w:cstheme="majorBidi"/>
          <w:bCs/>
        </w:rPr>
        <w:t xml:space="preserve">oxidized or carbonized brownish-black to black woody tissues, and </w:t>
      </w:r>
      <w:r w:rsidRPr="006A4361">
        <w:rPr>
          <w:rFonts w:asciiTheme="majorBidi" w:hAnsiTheme="majorBidi" w:cstheme="majorBidi"/>
        </w:rPr>
        <w:t xml:space="preserve">are very minor components in the studied interval. AOM comprises </w:t>
      </w:r>
      <w:r w:rsidRPr="006A4361">
        <w:rPr>
          <w:rFonts w:asciiTheme="majorBidi" w:hAnsiTheme="majorBidi" w:cstheme="majorBidi"/>
          <w:bCs/>
        </w:rPr>
        <w:t xml:space="preserve">all particulate organic components that appear </w:t>
      </w:r>
      <w:proofErr w:type="spellStart"/>
      <w:r w:rsidRPr="006A4361">
        <w:rPr>
          <w:rFonts w:asciiTheme="majorBidi" w:hAnsiTheme="majorBidi" w:cstheme="majorBidi"/>
          <w:bCs/>
        </w:rPr>
        <w:t>structureless</w:t>
      </w:r>
      <w:proofErr w:type="spellEnd"/>
      <w:r w:rsidRPr="006A4361">
        <w:rPr>
          <w:rFonts w:asciiTheme="majorBidi" w:hAnsiTheme="majorBidi" w:cstheme="majorBidi"/>
          <w:bCs/>
        </w:rPr>
        <w:t xml:space="preserve"> at the scale of light microscopy, including bacterially derived AOM, </w:t>
      </w:r>
      <w:r w:rsidRPr="006A4361">
        <w:rPr>
          <w:rFonts w:asciiTheme="majorBidi" w:hAnsiTheme="majorBidi" w:cstheme="majorBidi"/>
          <w:bCs/>
        </w:rPr>
        <w:lastRenderedPageBreak/>
        <w:t xml:space="preserve">degraded marine phytoplankton remains, and amorphous </w:t>
      </w:r>
      <w:proofErr w:type="spellStart"/>
      <w:r w:rsidRPr="006A4361">
        <w:rPr>
          <w:rFonts w:asciiTheme="majorBidi" w:hAnsiTheme="majorBidi" w:cstheme="majorBidi"/>
          <w:bCs/>
        </w:rPr>
        <w:t>diagenetic</w:t>
      </w:r>
      <w:proofErr w:type="spellEnd"/>
      <w:r w:rsidRPr="006A4361">
        <w:rPr>
          <w:rFonts w:asciiTheme="majorBidi" w:hAnsiTheme="majorBidi" w:cstheme="majorBidi"/>
          <w:bCs/>
        </w:rPr>
        <w:t xml:space="preserve"> products of </w:t>
      </w:r>
      <w:proofErr w:type="spellStart"/>
      <w:r w:rsidRPr="006A4361">
        <w:rPr>
          <w:rFonts w:asciiTheme="majorBidi" w:hAnsiTheme="majorBidi" w:cstheme="majorBidi"/>
          <w:bCs/>
        </w:rPr>
        <w:t>macrophyte</w:t>
      </w:r>
      <w:proofErr w:type="spellEnd"/>
      <w:r w:rsidRPr="006A4361">
        <w:rPr>
          <w:rFonts w:asciiTheme="majorBidi" w:hAnsiTheme="majorBidi" w:cstheme="majorBidi"/>
          <w:bCs/>
        </w:rPr>
        <w:t xml:space="preserve"> tissues</w:t>
      </w:r>
      <w:r w:rsidR="00EA1210">
        <w:rPr>
          <w:rFonts w:asciiTheme="majorBidi" w:hAnsiTheme="majorBidi" w:cstheme="majorBidi"/>
          <w:bCs/>
        </w:rPr>
        <w:t xml:space="preserve"> (Tyson, 1995)</w:t>
      </w:r>
      <w:r w:rsidRPr="006A4361">
        <w:rPr>
          <w:rFonts w:asciiTheme="majorBidi" w:hAnsiTheme="majorBidi" w:cstheme="majorBidi"/>
        </w:rPr>
        <w:t xml:space="preserve">. AOM dominates the upper “G” and lower “F” members, and constitutes </w:t>
      </w:r>
      <w:r w:rsidR="00F02AE5">
        <w:rPr>
          <w:rFonts w:asciiTheme="majorBidi" w:hAnsiTheme="majorBidi" w:cstheme="majorBidi"/>
        </w:rPr>
        <w:t>≥</w:t>
      </w:r>
      <w:r w:rsidRPr="006A4361">
        <w:rPr>
          <w:rFonts w:asciiTheme="majorBidi" w:hAnsiTheme="majorBidi" w:cstheme="majorBidi"/>
        </w:rPr>
        <w:t xml:space="preserve"> 9</w:t>
      </w:r>
      <w:r w:rsidR="00F02AE5">
        <w:rPr>
          <w:rFonts w:asciiTheme="majorBidi" w:hAnsiTheme="majorBidi" w:cstheme="majorBidi"/>
        </w:rPr>
        <w:t>4</w:t>
      </w:r>
      <w:r w:rsidRPr="006A4361">
        <w:rPr>
          <w:rFonts w:asciiTheme="majorBidi" w:hAnsiTheme="majorBidi" w:cstheme="majorBidi"/>
        </w:rPr>
        <w:t xml:space="preserve"> % of the kerogen assemblage in these sediments (Fig. 3</w:t>
      </w:r>
      <w:r w:rsidR="007B5FF7">
        <w:rPr>
          <w:rFonts w:asciiTheme="majorBidi" w:hAnsiTheme="majorBidi" w:cstheme="majorBidi"/>
        </w:rPr>
        <w:t>; Appendix Table 1</w:t>
      </w:r>
      <w:r w:rsidRPr="006A4361">
        <w:rPr>
          <w:rFonts w:asciiTheme="majorBidi" w:hAnsiTheme="majorBidi" w:cstheme="majorBidi"/>
        </w:rPr>
        <w:t>). An up-section decrease in AOM in the studied interval correlates with an increase in phytoclasts and palynomorphs.</w:t>
      </w:r>
    </w:p>
    <w:p w:rsidR="006C680B" w:rsidRPr="008E4AA8" w:rsidRDefault="006A4361">
      <w:pPr>
        <w:spacing w:line="480" w:lineRule="auto"/>
        <w:ind w:firstLine="720"/>
        <w:rPr>
          <w:rFonts w:asciiTheme="majorBidi" w:hAnsiTheme="majorBidi" w:cstheme="majorBidi"/>
        </w:rPr>
      </w:pPr>
      <w:r w:rsidRPr="006A4361">
        <w:rPr>
          <w:rFonts w:asciiTheme="majorBidi" w:hAnsiTheme="majorBidi" w:cstheme="majorBidi"/>
        </w:rPr>
        <w:t>Detailed carbon stable isotopic and organic carbon analyses across the C/T boundary in the Razzak #7 well indicate that the δ</w:t>
      </w:r>
      <w:r w:rsidRPr="006A4361">
        <w:rPr>
          <w:rFonts w:asciiTheme="majorBidi" w:hAnsiTheme="majorBidi" w:cstheme="majorBidi"/>
          <w:vertAlign w:val="superscript"/>
        </w:rPr>
        <w:t>13</w:t>
      </w:r>
      <w:r w:rsidRPr="006A4361">
        <w:rPr>
          <w:rFonts w:asciiTheme="majorBidi" w:hAnsiTheme="majorBidi" w:cstheme="majorBidi"/>
        </w:rPr>
        <w:t>C</w:t>
      </w:r>
      <w:r w:rsidRPr="006A4361">
        <w:rPr>
          <w:rFonts w:asciiTheme="majorBidi" w:hAnsiTheme="majorBidi" w:cstheme="majorBidi"/>
          <w:vertAlign w:val="subscript"/>
        </w:rPr>
        <w:t>org</w:t>
      </w:r>
      <w:r w:rsidRPr="006A4361">
        <w:rPr>
          <w:rFonts w:asciiTheme="majorBidi" w:hAnsiTheme="majorBidi" w:cstheme="majorBidi"/>
        </w:rPr>
        <w:t xml:space="preserve"> profile fluctuation</w:t>
      </w:r>
      <w:r w:rsidR="00333C35">
        <w:rPr>
          <w:rFonts w:asciiTheme="majorBidi" w:hAnsiTheme="majorBidi" w:cstheme="majorBidi"/>
        </w:rPr>
        <w:t>s</w:t>
      </w:r>
      <w:r w:rsidRPr="006A4361">
        <w:rPr>
          <w:rFonts w:asciiTheme="majorBidi" w:hAnsiTheme="majorBidi" w:cstheme="majorBidi"/>
        </w:rPr>
        <w:t xml:space="preserve"> across the upper Abu Roash “G”, “F”, and basal “E” members correspond well with changes in TOC abundance</w:t>
      </w:r>
      <w:r w:rsidR="00895524">
        <w:rPr>
          <w:rFonts w:asciiTheme="majorBidi" w:hAnsiTheme="majorBidi" w:cstheme="majorBidi"/>
        </w:rPr>
        <w:t xml:space="preserve"> (</w:t>
      </w:r>
      <w:r w:rsidR="00F02AE5">
        <w:rPr>
          <w:rFonts w:asciiTheme="majorBidi" w:hAnsiTheme="majorBidi" w:cstheme="majorBidi"/>
        </w:rPr>
        <w:t>Fig. 3</w:t>
      </w:r>
      <w:r w:rsidR="007B5FF7">
        <w:rPr>
          <w:rFonts w:asciiTheme="majorBidi" w:hAnsiTheme="majorBidi" w:cstheme="majorBidi"/>
        </w:rPr>
        <w:t>; Appendix Table 1)</w:t>
      </w:r>
      <w:r w:rsidRPr="006A4361">
        <w:rPr>
          <w:rFonts w:asciiTheme="majorBidi" w:hAnsiTheme="majorBidi" w:cstheme="majorBidi"/>
        </w:rPr>
        <w:t>. A Positive δ</w:t>
      </w:r>
      <w:r w:rsidRPr="006A4361">
        <w:rPr>
          <w:rFonts w:asciiTheme="majorBidi" w:hAnsiTheme="majorBidi" w:cstheme="majorBidi"/>
          <w:vertAlign w:val="superscript"/>
        </w:rPr>
        <w:t>13</w:t>
      </w:r>
      <w:r w:rsidRPr="006A4361">
        <w:rPr>
          <w:rFonts w:asciiTheme="majorBidi" w:hAnsiTheme="majorBidi" w:cstheme="majorBidi"/>
        </w:rPr>
        <w:t>C</w:t>
      </w:r>
      <w:r w:rsidRPr="006A4361">
        <w:rPr>
          <w:rFonts w:asciiTheme="majorBidi" w:hAnsiTheme="majorBidi" w:cstheme="majorBidi"/>
          <w:vertAlign w:val="subscript"/>
        </w:rPr>
        <w:t>org</w:t>
      </w:r>
      <w:r w:rsidRPr="006A4361">
        <w:rPr>
          <w:rFonts w:asciiTheme="majorBidi" w:hAnsiTheme="majorBidi" w:cstheme="majorBidi"/>
        </w:rPr>
        <w:t xml:space="preserve"> excursion (~2.01 ‰) exists in the basal part of the Abu Roash “F” member, which is also characterized by high TOC values (10.43</w:t>
      </w:r>
      <w:r w:rsidRPr="006A4361">
        <w:rPr>
          <w:rFonts w:asciiTheme="majorBidi" w:eastAsia="Cambria" w:hAnsiTheme="majorBidi" w:cstheme="majorBidi"/>
          <w:bCs/>
        </w:rPr>
        <w:t>–</w:t>
      </w:r>
      <w:r w:rsidRPr="006A4361">
        <w:rPr>
          <w:rFonts w:asciiTheme="majorBidi" w:hAnsiTheme="majorBidi" w:cstheme="majorBidi"/>
        </w:rPr>
        <w:t xml:space="preserve">24.61 wt. %), and is predominantly organic-rich, black </w:t>
      </w:r>
      <w:proofErr w:type="spellStart"/>
      <w:r w:rsidRPr="006A4361">
        <w:rPr>
          <w:rFonts w:asciiTheme="majorBidi" w:hAnsiTheme="majorBidi" w:cstheme="majorBidi"/>
        </w:rPr>
        <w:t>shaly</w:t>
      </w:r>
      <w:proofErr w:type="spellEnd"/>
      <w:r w:rsidRPr="006A4361">
        <w:rPr>
          <w:rFonts w:asciiTheme="majorBidi" w:hAnsiTheme="majorBidi" w:cstheme="majorBidi"/>
        </w:rPr>
        <w:t xml:space="preserve"> limestone.</w:t>
      </w:r>
    </w:p>
    <w:p w:rsidR="00AF0508" w:rsidRPr="008E4AA8" w:rsidRDefault="006A4361" w:rsidP="00B4391E">
      <w:pPr>
        <w:spacing w:line="480" w:lineRule="auto"/>
        <w:ind w:firstLine="720"/>
        <w:rPr>
          <w:rFonts w:asciiTheme="majorBidi" w:hAnsiTheme="majorBidi" w:cstheme="majorBidi"/>
        </w:rPr>
      </w:pPr>
      <w:r w:rsidRPr="006A4361">
        <w:rPr>
          <w:rFonts w:asciiTheme="majorBidi" w:hAnsiTheme="majorBidi" w:cstheme="majorBidi"/>
        </w:rPr>
        <w:t xml:space="preserve">Palynomorph analysis revealed that the studied interval is poorly </w:t>
      </w:r>
      <w:proofErr w:type="spellStart"/>
      <w:r w:rsidRPr="006A4361">
        <w:rPr>
          <w:rFonts w:asciiTheme="majorBidi" w:hAnsiTheme="majorBidi" w:cstheme="majorBidi"/>
        </w:rPr>
        <w:t>fossiliferous</w:t>
      </w:r>
      <w:proofErr w:type="spellEnd"/>
      <w:r w:rsidRPr="006A4361">
        <w:rPr>
          <w:rFonts w:asciiTheme="majorBidi" w:hAnsiTheme="majorBidi" w:cstheme="majorBidi"/>
        </w:rPr>
        <w:t xml:space="preserve">, as noted by previous workers (Ibrahim et al., 2009; Zobaa et al., 2009a; El Beialy et al., 2010). The few palynomorph species recovered in this study are long ranging and did not allow for precise age dating. Moreover, Cenozoic taxa attributed to caving were common, making </w:t>
      </w:r>
      <w:proofErr w:type="spellStart"/>
      <w:r w:rsidRPr="006A4361">
        <w:rPr>
          <w:rFonts w:asciiTheme="majorBidi" w:hAnsiTheme="majorBidi" w:cstheme="majorBidi"/>
        </w:rPr>
        <w:t>biostratigraphic</w:t>
      </w:r>
      <w:proofErr w:type="spellEnd"/>
      <w:r w:rsidRPr="006A4361">
        <w:rPr>
          <w:rFonts w:asciiTheme="majorBidi" w:hAnsiTheme="majorBidi" w:cstheme="majorBidi"/>
        </w:rPr>
        <w:t xml:space="preserve"> analysis very difficult and unreliable. It was evident, however, that well preserved </w:t>
      </w:r>
      <w:r w:rsidRPr="006A4361">
        <w:rPr>
          <w:rFonts w:asciiTheme="majorBidi" w:hAnsiTheme="majorBidi" w:cstheme="majorBidi"/>
          <w:i/>
        </w:rPr>
        <w:t>in-situ</w:t>
      </w:r>
      <w:r w:rsidRPr="006A4361">
        <w:rPr>
          <w:rFonts w:asciiTheme="majorBidi" w:hAnsiTheme="majorBidi" w:cstheme="majorBidi"/>
        </w:rPr>
        <w:t xml:space="preserve"> specimens of the freshwater green alga </w:t>
      </w:r>
      <w:proofErr w:type="spellStart"/>
      <w:r w:rsidRPr="006A4361">
        <w:rPr>
          <w:rFonts w:asciiTheme="majorBidi" w:hAnsiTheme="majorBidi" w:cstheme="majorBidi"/>
          <w:i/>
        </w:rPr>
        <w:t>Pediastrum</w:t>
      </w:r>
      <w:proofErr w:type="spellEnd"/>
      <w:r w:rsidRPr="006A4361">
        <w:rPr>
          <w:rFonts w:asciiTheme="majorBidi" w:hAnsiTheme="majorBidi" w:cstheme="majorBidi"/>
        </w:rPr>
        <w:t xml:space="preserve"> overwhelmingly outnumbered and diluted all other types of palynomorphs in the lowermost “E” member (samples 48–50). Specimens of the freshwater green alga </w:t>
      </w:r>
      <w:proofErr w:type="spellStart"/>
      <w:r w:rsidRPr="006A4361">
        <w:rPr>
          <w:rFonts w:asciiTheme="majorBidi" w:hAnsiTheme="majorBidi" w:cstheme="majorBidi"/>
          <w:i/>
          <w:iCs/>
        </w:rPr>
        <w:t>Tetrastrum</w:t>
      </w:r>
      <w:proofErr w:type="spellEnd"/>
      <w:r w:rsidRPr="006A4361">
        <w:rPr>
          <w:rFonts w:asciiTheme="majorBidi" w:hAnsiTheme="majorBidi" w:cstheme="majorBidi"/>
        </w:rPr>
        <w:t xml:space="preserve"> </w:t>
      </w:r>
      <w:r w:rsidRPr="006A4361">
        <w:rPr>
          <w:rFonts w:asciiTheme="majorBidi" w:hAnsiTheme="majorBidi" w:cstheme="majorBidi"/>
          <w:bCs/>
        </w:rPr>
        <w:t xml:space="preserve">were also common within the same interval. </w:t>
      </w:r>
      <w:r w:rsidRPr="006A4361">
        <w:rPr>
          <w:rFonts w:asciiTheme="majorBidi" w:hAnsiTheme="majorBidi" w:cstheme="majorBidi"/>
        </w:rPr>
        <w:t xml:space="preserve">The presence of these algae has significant implications in terms of </w:t>
      </w:r>
      <w:proofErr w:type="spellStart"/>
      <w:r w:rsidRPr="006A4361">
        <w:rPr>
          <w:rFonts w:asciiTheme="majorBidi" w:hAnsiTheme="majorBidi" w:cstheme="majorBidi"/>
        </w:rPr>
        <w:t>paleoenvironmental</w:t>
      </w:r>
      <w:proofErr w:type="spellEnd"/>
      <w:r w:rsidRPr="006A4361">
        <w:rPr>
          <w:rFonts w:asciiTheme="majorBidi" w:hAnsiTheme="majorBidi" w:cstheme="majorBidi"/>
        </w:rPr>
        <w:t xml:space="preserve"> reconstruction (discussed later). Other palynomorphs identified in the studied interval include dinoflagellate cysts such as </w:t>
      </w:r>
      <w:proofErr w:type="spellStart"/>
      <w:r w:rsidRPr="006A4361">
        <w:rPr>
          <w:rFonts w:asciiTheme="majorBidi" w:hAnsiTheme="majorBidi" w:cstheme="majorBidi"/>
          <w:i/>
          <w:lang w:eastAsia="ar-EG" w:bidi="ar-EG"/>
        </w:rPr>
        <w:t>Odontochitina</w:t>
      </w:r>
      <w:proofErr w:type="spellEnd"/>
      <w:r w:rsidRPr="006A4361">
        <w:rPr>
          <w:rFonts w:asciiTheme="majorBidi" w:hAnsiTheme="majorBidi" w:cstheme="majorBidi"/>
          <w:lang w:eastAsia="ar-EG" w:bidi="ar-EG"/>
        </w:rPr>
        <w:t xml:space="preserve"> sp., </w:t>
      </w:r>
      <w:proofErr w:type="spellStart"/>
      <w:r w:rsidRPr="006A4361">
        <w:rPr>
          <w:rFonts w:asciiTheme="majorBidi" w:hAnsiTheme="majorBidi" w:cstheme="majorBidi"/>
          <w:i/>
          <w:lang w:eastAsia="ar-EG" w:bidi="ar-EG"/>
        </w:rPr>
        <w:t>Oligosphaeridium</w:t>
      </w:r>
      <w:proofErr w:type="spellEnd"/>
      <w:r w:rsidRPr="006A4361">
        <w:rPr>
          <w:rFonts w:asciiTheme="majorBidi" w:hAnsiTheme="majorBidi" w:cstheme="majorBidi"/>
          <w:lang w:eastAsia="ar-EG" w:bidi="ar-EG"/>
        </w:rPr>
        <w:t xml:space="preserve"> </w:t>
      </w:r>
      <w:proofErr w:type="spellStart"/>
      <w:r w:rsidRPr="006A4361">
        <w:rPr>
          <w:rFonts w:asciiTheme="majorBidi" w:hAnsiTheme="majorBidi" w:cstheme="majorBidi"/>
          <w:i/>
        </w:rPr>
        <w:t>pulcherrimum</w:t>
      </w:r>
      <w:proofErr w:type="spellEnd"/>
      <w:r w:rsidRPr="006A4361">
        <w:rPr>
          <w:rFonts w:asciiTheme="majorBidi" w:hAnsiTheme="majorBidi" w:cstheme="majorBidi"/>
        </w:rPr>
        <w:t xml:space="preserve">, </w:t>
      </w:r>
      <w:proofErr w:type="spellStart"/>
      <w:r w:rsidRPr="006A4361">
        <w:rPr>
          <w:rFonts w:asciiTheme="majorBidi" w:hAnsiTheme="majorBidi" w:cstheme="majorBidi"/>
          <w:i/>
        </w:rPr>
        <w:t>Cyclonephelium</w:t>
      </w:r>
      <w:proofErr w:type="spellEnd"/>
      <w:r w:rsidRPr="006A4361">
        <w:rPr>
          <w:rFonts w:asciiTheme="majorBidi" w:hAnsiTheme="majorBidi" w:cstheme="majorBidi"/>
        </w:rPr>
        <w:t xml:space="preserve"> sp., </w:t>
      </w:r>
      <w:proofErr w:type="spellStart"/>
      <w:r w:rsidRPr="006A4361">
        <w:rPr>
          <w:rFonts w:asciiTheme="majorBidi" w:hAnsiTheme="majorBidi" w:cstheme="majorBidi"/>
          <w:i/>
          <w:iCs/>
        </w:rPr>
        <w:t>Subtilisphaera</w:t>
      </w:r>
      <w:proofErr w:type="spellEnd"/>
      <w:r w:rsidRPr="006A4361">
        <w:rPr>
          <w:rFonts w:asciiTheme="majorBidi" w:hAnsiTheme="majorBidi" w:cstheme="majorBidi"/>
        </w:rPr>
        <w:t xml:space="preserve"> sp., and </w:t>
      </w:r>
      <w:proofErr w:type="spellStart"/>
      <w:r w:rsidRPr="006A4361">
        <w:rPr>
          <w:rFonts w:asciiTheme="majorBidi" w:hAnsiTheme="majorBidi" w:cstheme="majorBidi"/>
          <w:i/>
        </w:rPr>
        <w:t>Florentinia</w:t>
      </w:r>
      <w:proofErr w:type="spellEnd"/>
      <w:r w:rsidRPr="006A4361">
        <w:rPr>
          <w:rFonts w:asciiTheme="majorBidi" w:hAnsiTheme="majorBidi" w:cstheme="majorBidi"/>
        </w:rPr>
        <w:t xml:space="preserve"> sp. </w:t>
      </w:r>
      <w:proofErr w:type="spellStart"/>
      <w:r w:rsidRPr="006A4361">
        <w:rPr>
          <w:rFonts w:asciiTheme="majorBidi" w:hAnsiTheme="majorBidi" w:cstheme="majorBidi"/>
        </w:rPr>
        <w:t>Pteridophytic</w:t>
      </w:r>
      <w:proofErr w:type="spellEnd"/>
      <w:r w:rsidRPr="006A4361">
        <w:rPr>
          <w:rFonts w:asciiTheme="majorBidi" w:hAnsiTheme="majorBidi" w:cstheme="majorBidi"/>
        </w:rPr>
        <w:t xml:space="preserve"> spores, and gymnosperm and angiosperm pollen include taxa of </w:t>
      </w:r>
      <w:r w:rsidRPr="006A4361">
        <w:rPr>
          <w:rFonts w:asciiTheme="majorBidi" w:hAnsiTheme="majorBidi" w:cstheme="majorBidi"/>
        </w:rPr>
        <w:lastRenderedPageBreak/>
        <w:t xml:space="preserve">genera such as </w:t>
      </w:r>
      <w:proofErr w:type="spellStart"/>
      <w:r w:rsidRPr="006A4361">
        <w:rPr>
          <w:rFonts w:asciiTheme="majorBidi" w:hAnsiTheme="majorBidi" w:cstheme="majorBidi"/>
          <w:i/>
          <w:color w:val="000000"/>
        </w:rPr>
        <w:t>Gleicheniidites</w:t>
      </w:r>
      <w:proofErr w:type="spellEnd"/>
      <w:r w:rsidRPr="006A4361">
        <w:rPr>
          <w:rFonts w:asciiTheme="majorBidi" w:hAnsiTheme="majorBidi" w:cstheme="majorBidi"/>
          <w:i/>
          <w:color w:val="000000"/>
        </w:rPr>
        <w:t xml:space="preserve">, </w:t>
      </w:r>
      <w:proofErr w:type="spellStart"/>
      <w:r w:rsidRPr="006A4361">
        <w:rPr>
          <w:rFonts w:asciiTheme="majorBidi" w:hAnsiTheme="majorBidi" w:cstheme="majorBidi"/>
          <w:i/>
          <w:color w:val="000000"/>
        </w:rPr>
        <w:t>Triplanosporites</w:t>
      </w:r>
      <w:proofErr w:type="spellEnd"/>
      <w:r w:rsidRPr="006A4361">
        <w:rPr>
          <w:rFonts w:asciiTheme="majorBidi" w:hAnsiTheme="majorBidi" w:cstheme="majorBidi"/>
          <w:i/>
          <w:color w:val="000000"/>
        </w:rPr>
        <w:t>,</w:t>
      </w:r>
      <w:r w:rsidRPr="006A4361">
        <w:rPr>
          <w:rFonts w:asciiTheme="majorBidi" w:hAnsiTheme="majorBidi" w:cstheme="majorBidi"/>
          <w:b/>
          <w:bCs/>
          <w:i/>
          <w:iCs/>
        </w:rPr>
        <w:t xml:space="preserve"> </w:t>
      </w:r>
      <w:proofErr w:type="spellStart"/>
      <w:r w:rsidRPr="006A4361">
        <w:rPr>
          <w:rFonts w:asciiTheme="majorBidi" w:hAnsiTheme="majorBidi" w:cstheme="majorBidi"/>
          <w:i/>
          <w:iCs/>
        </w:rPr>
        <w:t>Bennettiteaepollenites</w:t>
      </w:r>
      <w:proofErr w:type="spellEnd"/>
      <w:r w:rsidRPr="006A4361">
        <w:rPr>
          <w:rFonts w:asciiTheme="majorBidi" w:hAnsiTheme="majorBidi" w:cstheme="majorBidi"/>
          <w:i/>
          <w:iCs/>
        </w:rPr>
        <w:t xml:space="preserve">, </w:t>
      </w:r>
      <w:proofErr w:type="spellStart"/>
      <w:r w:rsidRPr="006A4361">
        <w:rPr>
          <w:rFonts w:asciiTheme="majorBidi" w:hAnsiTheme="majorBidi" w:cstheme="majorBidi"/>
          <w:i/>
          <w:iCs/>
        </w:rPr>
        <w:t>Ephedripites</w:t>
      </w:r>
      <w:proofErr w:type="spellEnd"/>
      <w:r w:rsidRPr="006A4361">
        <w:rPr>
          <w:rFonts w:asciiTheme="majorBidi" w:hAnsiTheme="majorBidi" w:cstheme="majorBidi"/>
          <w:i/>
          <w:iCs/>
        </w:rPr>
        <w:t>,</w:t>
      </w:r>
      <w:r w:rsidRPr="006A4361">
        <w:rPr>
          <w:rFonts w:asciiTheme="majorBidi" w:hAnsiTheme="majorBidi" w:cstheme="majorBidi"/>
          <w:i/>
          <w:color w:val="000000"/>
        </w:rPr>
        <w:t xml:space="preserve"> </w:t>
      </w:r>
      <w:proofErr w:type="spellStart"/>
      <w:r w:rsidRPr="006A4361">
        <w:rPr>
          <w:rFonts w:asciiTheme="majorBidi" w:hAnsiTheme="majorBidi" w:cstheme="majorBidi"/>
          <w:i/>
          <w:color w:val="000000"/>
        </w:rPr>
        <w:t>Spheripollenites</w:t>
      </w:r>
      <w:proofErr w:type="spellEnd"/>
      <w:r w:rsidRPr="006A4361">
        <w:rPr>
          <w:rFonts w:asciiTheme="majorBidi" w:hAnsiTheme="majorBidi" w:cstheme="majorBidi"/>
          <w:i/>
          <w:color w:val="000000"/>
        </w:rPr>
        <w:t xml:space="preserve">, </w:t>
      </w:r>
      <w:proofErr w:type="spellStart"/>
      <w:r w:rsidRPr="006A4361">
        <w:rPr>
          <w:rFonts w:asciiTheme="majorBidi" w:hAnsiTheme="majorBidi" w:cstheme="majorBidi"/>
          <w:i/>
          <w:color w:val="000000"/>
        </w:rPr>
        <w:t>Foveotricolpites</w:t>
      </w:r>
      <w:proofErr w:type="spellEnd"/>
      <w:r w:rsidRPr="006A4361">
        <w:rPr>
          <w:rFonts w:asciiTheme="majorBidi" w:hAnsiTheme="majorBidi" w:cstheme="majorBidi"/>
          <w:i/>
          <w:color w:val="000000"/>
        </w:rPr>
        <w:t xml:space="preserve">, </w:t>
      </w:r>
      <w:proofErr w:type="spellStart"/>
      <w:r w:rsidRPr="006A4361">
        <w:rPr>
          <w:rFonts w:asciiTheme="majorBidi" w:hAnsiTheme="majorBidi" w:cstheme="majorBidi"/>
          <w:i/>
          <w:color w:val="000000"/>
        </w:rPr>
        <w:t>Psilatricolporites</w:t>
      </w:r>
      <w:proofErr w:type="spellEnd"/>
      <w:r w:rsidRPr="006A4361">
        <w:rPr>
          <w:rFonts w:asciiTheme="majorBidi" w:hAnsiTheme="majorBidi" w:cstheme="majorBidi"/>
          <w:i/>
          <w:color w:val="000000"/>
        </w:rPr>
        <w:t xml:space="preserve">, </w:t>
      </w:r>
      <w:r w:rsidRPr="006A4361">
        <w:rPr>
          <w:rFonts w:asciiTheme="majorBidi" w:hAnsiTheme="majorBidi" w:cstheme="majorBidi"/>
          <w:iCs/>
          <w:color w:val="000000"/>
        </w:rPr>
        <w:t xml:space="preserve">and </w:t>
      </w:r>
      <w:proofErr w:type="spellStart"/>
      <w:r w:rsidRPr="006A4361">
        <w:rPr>
          <w:rFonts w:asciiTheme="majorBidi" w:hAnsiTheme="majorBidi" w:cstheme="majorBidi"/>
          <w:i/>
          <w:color w:val="000000"/>
        </w:rPr>
        <w:t>Retimonocolpites</w:t>
      </w:r>
      <w:proofErr w:type="spellEnd"/>
      <w:r w:rsidRPr="006A4361">
        <w:rPr>
          <w:rFonts w:asciiTheme="majorBidi" w:hAnsiTheme="majorBidi" w:cstheme="majorBidi"/>
          <w:iCs/>
          <w:color w:val="000000"/>
        </w:rPr>
        <w:t>.</w:t>
      </w:r>
      <w:r w:rsidRPr="006A4361">
        <w:rPr>
          <w:rFonts w:asciiTheme="majorBidi" w:hAnsiTheme="majorBidi" w:cstheme="majorBidi"/>
        </w:rPr>
        <w:t xml:space="preserve"> A single </w:t>
      </w:r>
      <w:proofErr w:type="spellStart"/>
      <w:r w:rsidRPr="006A4361">
        <w:rPr>
          <w:rFonts w:asciiTheme="majorBidi" w:hAnsiTheme="majorBidi" w:cstheme="majorBidi"/>
        </w:rPr>
        <w:t>scolecodont</w:t>
      </w:r>
      <w:proofErr w:type="spellEnd"/>
      <w:r w:rsidRPr="006A4361">
        <w:rPr>
          <w:rFonts w:asciiTheme="majorBidi" w:hAnsiTheme="majorBidi" w:cstheme="majorBidi"/>
        </w:rPr>
        <w:t xml:space="preserve"> fragment was recovered in sample 64 (Plate 1).</w:t>
      </w:r>
    </w:p>
    <w:p w:rsidR="00C45F66" w:rsidRPr="008E4AA8" w:rsidRDefault="00C45F66" w:rsidP="00437EEF">
      <w:pPr>
        <w:spacing w:line="480" w:lineRule="auto"/>
        <w:rPr>
          <w:rFonts w:asciiTheme="majorBidi" w:hAnsiTheme="majorBidi" w:cstheme="majorBidi"/>
        </w:rPr>
      </w:pPr>
    </w:p>
    <w:p w:rsidR="00DD52ED" w:rsidRPr="008E4AA8" w:rsidRDefault="006A4361" w:rsidP="00437EEF">
      <w:pPr>
        <w:spacing w:line="480" w:lineRule="auto"/>
        <w:rPr>
          <w:rFonts w:asciiTheme="majorBidi" w:hAnsiTheme="majorBidi" w:cstheme="majorBidi"/>
          <w:b/>
        </w:rPr>
      </w:pPr>
      <w:r w:rsidRPr="006A4361">
        <w:rPr>
          <w:rFonts w:asciiTheme="majorBidi" w:hAnsiTheme="majorBidi" w:cstheme="majorBidi"/>
          <w:b/>
        </w:rPr>
        <w:t>4. Discussion</w:t>
      </w:r>
    </w:p>
    <w:p w:rsidR="001F59D8" w:rsidRPr="008E4AA8" w:rsidRDefault="006A4361" w:rsidP="00B4391E">
      <w:pPr>
        <w:widowControl w:val="0"/>
        <w:autoSpaceDE w:val="0"/>
        <w:autoSpaceDN w:val="0"/>
        <w:adjustRightInd w:val="0"/>
        <w:spacing w:line="480" w:lineRule="auto"/>
        <w:rPr>
          <w:rFonts w:asciiTheme="majorBidi" w:hAnsiTheme="majorBidi" w:cstheme="majorBidi"/>
          <w:bCs/>
          <w:i/>
          <w:iCs/>
        </w:rPr>
      </w:pPr>
      <w:r w:rsidRPr="006A4361">
        <w:rPr>
          <w:rFonts w:asciiTheme="majorBidi" w:hAnsiTheme="majorBidi" w:cstheme="majorBidi"/>
          <w:bCs/>
          <w:i/>
          <w:iCs/>
        </w:rPr>
        <w:t>4.1. C/T oceanic anoxic event (OAE2)</w:t>
      </w:r>
    </w:p>
    <w:p w:rsidR="006C680B" w:rsidRPr="008E4AA8" w:rsidRDefault="006A4361">
      <w:pPr>
        <w:widowControl w:val="0"/>
        <w:autoSpaceDE w:val="0"/>
        <w:autoSpaceDN w:val="0"/>
        <w:adjustRightInd w:val="0"/>
        <w:spacing w:line="480" w:lineRule="auto"/>
        <w:ind w:firstLine="720"/>
        <w:rPr>
          <w:rFonts w:asciiTheme="majorBidi" w:hAnsiTheme="majorBidi" w:cstheme="majorBidi"/>
          <w:bCs/>
        </w:rPr>
      </w:pPr>
      <w:r w:rsidRPr="006A4361">
        <w:rPr>
          <w:rFonts w:asciiTheme="majorBidi" w:hAnsiTheme="majorBidi" w:cstheme="majorBidi"/>
          <w:bCs/>
        </w:rPr>
        <w:t>Oceanic anoxic events represent intervals of globally increased organic carbon sequestration associated with pervasive marine anoxia</w:t>
      </w:r>
      <w:r w:rsidRPr="006A4361">
        <w:rPr>
          <w:rFonts w:asciiTheme="majorBidi" w:hAnsiTheme="majorBidi" w:cstheme="majorBidi"/>
        </w:rPr>
        <w:t>. Earth has witnessed several oceanic anoxic events during its history that have been preserved in the sedimentary record. Among these, the most prominent and best identified is the OAE2 that occurred at approximately 93.5 million years ago (Turgeon and Creaser, 2008). Several scenarios/mechanisms have been proposed to explain what actually initiated the OAE2. Some authors have attributed it to massive magmatic activity (Sinton and Duncan, 1997; Kerr, 1998; Turgeon and Creaser, 2008). Others, such as Arthur et al. (1988), have related it to increased nutrient upwelling and high primary productivity leading to significant carbon burial and CO</w:t>
      </w:r>
      <w:r w:rsidRPr="006A4361">
        <w:rPr>
          <w:rFonts w:asciiTheme="majorBidi" w:hAnsiTheme="majorBidi" w:cstheme="majorBidi"/>
          <w:vertAlign w:val="subscript"/>
        </w:rPr>
        <w:t>2</w:t>
      </w:r>
      <w:r w:rsidRPr="006A4361">
        <w:rPr>
          <w:rFonts w:asciiTheme="majorBidi" w:hAnsiTheme="majorBidi" w:cstheme="majorBidi"/>
        </w:rPr>
        <w:t xml:space="preserve"> depletion. </w:t>
      </w:r>
      <w:r w:rsidRPr="006A4361">
        <w:rPr>
          <w:rFonts w:asciiTheme="majorBidi" w:hAnsiTheme="majorBidi" w:cstheme="majorBidi"/>
          <w:bCs/>
        </w:rPr>
        <w:t>The OAE2 can be easily distinguished by a sharp positive excursion in the δ</w:t>
      </w:r>
      <w:r w:rsidRPr="006A4361">
        <w:rPr>
          <w:rFonts w:asciiTheme="majorBidi" w:hAnsiTheme="majorBidi" w:cstheme="majorBidi"/>
          <w:bCs/>
          <w:vertAlign w:val="superscript"/>
        </w:rPr>
        <w:t>13</w:t>
      </w:r>
      <w:r w:rsidRPr="006A4361">
        <w:rPr>
          <w:rFonts w:asciiTheme="majorBidi" w:hAnsiTheme="majorBidi" w:cstheme="majorBidi"/>
          <w:bCs/>
        </w:rPr>
        <w:t xml:space="preserve">C profile of carbonates (2–3 ‰) and bulk organic matter (3–6 ‰) </w:t>
      </w:r>
      <w:r w:rsidRPr="006A4361">
        <w:rPr>
          <w:rFonts w:asciiTheme="majorBidi" w:hAnsiTheme="majorBidi" w:cstheme="majorBidi"/>
        </w:rPr>
        <w:t>(</w:t>
      </w:r>
      <w:proofErr w:type="spellStart"/>
      <w:r w:rsidRPr="006A4361">
        <w:rPr>
          <w:rFonts w:asciiTheme="majorBidi" w:hAnsiTheme="majorBidi" w:cstheme="majorBidi"/>
        </w:rPr>
        <w:t>Jenkyns</w:t>
      </w:r>
      <w:proofErr w:type="spellEnd"/>
      <w:r w:rsidRPr="006A4361">
        <w:rPr>
          <w:rFonts w:asciiTheme="majorBidi" w:hAnsiTheme="majorBidi" w:cstheme="majorBidi"/>
        </w:rPr>
        <w:t xml:space="preserve"> et al., 1994; Turgeon and Creaser, 2008)</w:t>
      </w:r>
      <w:r w:rsidRPr="006A4361">
        <w:rPr>
          <w:rFonts w:asciiTheme="majorBidi" w:hAnsiTheme="majorBidi" w:cstheme="majorBidi"/>
          <w:bCs/>
        </w:rPr>
        <w:t xml:space="preserve">. This excursion has been observed in various parts of the world and has been used as a stratigraphic tool for high-resolution correlation </w:t>
      </w:r>
      <w:r w:rsidRPr="006A4361">
        <w:rPr>
          <w:rFonts w:asciiTheme="majorBidi" w:hAnsiTheme="majorBidi" w:cstheme="majorBidi"/>
        </w:rPr>
        <w:t>(Gale et al., 1993; Hasegawa, 1997)</w:t>
      </w:r>
      <w:r w:rsidRPr="006A4361">
        <w:rPr>
          <w:rFonts w:asciiTheme="majorBidi" w:hAnsiTheme="majorBidi" w:cstheme="majorBidi"/>
          <w:bCs/>
        </w:rPr>
        <w:t>.</w:t>
      </w:r>
    </w:p>
    <w:p w:rsidR="006C680B" w:rsidRPr="008E4AA8" w:rsidRDefault="006A4361">
      <w:pPr>
        <w:widowControl w:val="0"/>
        <w:autoSpaceDE w:val="0"/>
        <w:autoSpaceDN w:val="0"/>
        <w:adjustRightInd w:val="0"/>
        <w:spacing w:line="480" w:lineRule="auto"/>
        <w:ind w:firstLine="720"/>
        <w:rPr>
          <w:rFonts w:asciiTheme="majorBidi" w:hAnsiTheme="majorBidi" w:cstheme="majorBidi"/>
          <w:bCs/>
        </w:rPr>
      </w:pPr>
      <w:r w:rsidRPr="006A4361">
        <w:rPr>
          <w:rFonts w:asciiTheme="majorBidi" w:hAnsiTheme="majorBidi" w:cstheme="majorBidi"/>
          <w:bCs/>
        </w:rPr>
        <w:t xml:space="preserve">In the </w:t>
      </w:r>
      <w:proofErr w:type="spellStart"/>
      <w:r w:rsidRPr="006A4361">
        <w:rPr>
          <w:rFonts w:asciiTheme="majorBidi" w:hAnsiTheme="majorBidi" w:cstheme="majorBidi"/>
          <w:bCs/>
        </w:rPr>
        <w:t>Razzak</w:t>
      </w:r>
      <w:proofErr w:type="spellEnd"/>
      <w:r w:rsidRPr="006A4361">
        <w:rPr>
          <w:rFonts w:asciiTheme="majorBidi" w:hAnsiTheme="majorBidi" w:cstheme="majorBidi"/>
          <w:bCs/>
        </w:rPr>
        <w:t xml:space="preserve"> #7 oil well, an abrupt p</w:t>
      </w:r>
      <w:r w:rsidRPr="006A4361">
        <w:rPr>
          <w:rFonts w:asciiTheme="majorBidi" w:eastAsia="Cambria" w:hAnsiTheme="majorBidi" w:cstheme="majorBidi"/>
          <w:bCs/>
        </w:rPr>
        <w:t>ositive δ</w:t>
      </w:r>
      <w:r w:rsidRPr="006A4361">
        <w:rPr>
          <w:rFonts w:asciiTheme="majorBidi" w:eastAsia="Cambria" w:hAnsiTheme="majorBidi" w:cstheme="majorBidi"/>
          <w:bCs/>
          <w:vertAlign w:val="superscript"/>
        </w:rPr>
        <w:t>13</w:t>
      </w:r>
      <w:r w:rsidRPr="006A4361">
        <w:rPr>
          <w:rFonts w:asciiTheme="majorBidi" w:eastAsia="Cambria" w:hAnsiTheme="majorBidi" w:cstheme="majorBidi"/>
          <w:bCs/>
        </w:rPr>
        <w:t>C</w:t>
      </w:r>
      <w:r w:rsidRPr="006A4361">
        <w:rPr>
          <w:rFonts w:asciiTheme="majorBidi" w:eastAsia="Cambria" w:hAnsiTheme="majorBidi" w:cstheme="majorBidi"/>
          <w:bCs/>
          <w:vertAlign w:val="subscript"/>
        </w:rPr>
        <w:t>org</w:t>
      </w:r>
      <w:r w:rsidRPr="006A4361">
        <w:rPr>
          <w:rFonts w:asciiTheme="majorBidi" w:hAnsiTheme="majorBidi" w:cstheme="majorBidi"/>
          <w:bCs/>
        </w:rPr>
        <w:t xml:space="preserve"> excursion (~2.01 ‰) was identified within </w:t>
      </w:r>
      <w:r w:rsidRPr="006A4361">
        <w:rPr>
          <w:rFonts w:asciiTheme="majorBidi" w:eastAsia="Cambria" w:hAnsiTheme="majorBidi" w:cstheme="majorBidi"/>
          <w:bCs/>
        </w:rPr>
        <w:t xml:space="preserve">the </w:t>
      </w:r>
      <w:r w:rsidRPr="006A4361">
        <w:rPr>
          <w:rFonts w:asciiTheme="majorBidi" w:hAnsiTheme="majorBidi" w:cstheme="majorBidi"/>
          <w:bCs/>
        </w:rPr>
        <w:t>basal part of the Abu Roash “F” member (sample 61; depth 1566.7 m) (Fig. 3). This is interpreted here to represent the OAE2 in that well and is supported by two pieces of evidence: 1) the lithologic composition of that interval is predominantly</w:t>
      </w:r>
      <w:r w:rsidRPr="006A4361">
        <w:rPr>
          <w:rFonts w:asciiTheme="majorBidi" w:eastAsia="Cambria" w:hAnsiTheme="majorBidi" w:cstheme="majorBidi"/>
          <w:bCs/>
        </w:rPr>
        <w:t xml:space="preserve"> organic-rich</w:t>
      </w:r>
      <w:r w:rsidRPr="006A4361">
        <w:rPr>
          <w:rFonts w:asciiTheme="majorBidi" w:hAnsiTheme="majorBidi" w:cstheme="majorBidi"/>
          <w:bCs/>
        </w:rPr>
        <w:t>,</w:t>
      </w:r>
      <w:r w:rsidRPr="006A4361">
        <w:rPr>
          <w:rFonts w:asciiTheme="majorBidi" w:eastAsia="Cambria" w:hAnsiTheme="majorBidi" w:cstheme="majorBidi"/>
          <w:bCs/>
        </w:rPr>
        <w:t xml:space="preserve"> black </w:t>
      </w:r>
      <w:proofErr w:type="spellStart"/>
      <w:r w:rsidRPr="006A4361">
        <w:rPr>
          <w:rFonts w:asciiTheme="majorBidi" w:eastAsia="Cambria" w:hAnsiTheme="majorBidi" w:cstheme="majorBidi"/>
          <w:bCs/>
        </w:rPr>
        <w:t>shaly</w:t>
      </w:r>
      <w:proofErr w:type="spellEnd"/>
      <w:r w:rsidRPr="006A4361">
        <w:rPr>
          <w:rFonts w:asciiTheme="majorBidi" w:eastAsia="Cambria" w:hAnsiTheme="majorBidi" w:cstheme="majorBidi"/>
          <w:bCs/>
        </w:rPr>
        <w:t xml:space="preserve"> </w:t>
      </w:r>
      <w:r w:rsidRPr="006A4361">
        <w:rPr>
          <w:rFonts w:asciiTheme="majorBidi" w:eastAsia="Cambria" w:hAnsiTheme="majorBidi" w:cstheme="majorBidi"/>
          <w:bCs/>
        </w:rPr>
        <w:lastRenderedPageBreak/>
        <w:t>limestone</w:t>
      </w:r>
      <w:r w:rsidRPr="006A4361">
        <w:rPr>
          <w:rFonts w:asciiTheme="majorBidi" w:hAnsiTheme="majorBidi" w:cstheme="majorBidi"/>
          <w:bCs/>
        </w:rPr>
        <w:t xml:space="preserve">; and  2) the corresponding increase in TOC content, with the </w:t>
      </w:r>
      <w:r w:rsidRPr="006A4361">
        <w:rPr>
          <w:rFonts w:asciiTheme="majorBidi" w:eastAsia="Cambria" w:hAnsiTheme="majorBidi" w:cstheme="majorBidi"/>
          <w:bCs/>
        </w:rPr>
        <w:t>high</w:t>
      </w:r>
      <w:r w:rsidRPr="006A4361">
        <w:rPr>
          <w:rFonts w:asciiTheme="majorBidi" w:hAnsiTheme="majorBidi" w:cstheme="majorBidi"/>
          <w:bCs/>
        </w:rPr>
        <w:t>est measured</w:t>
      </w:r>
      <w:r w:rsidRPr="006A4361">
        <w:rPr>
          <w:rFonts w:asciiTheme="majorBidi" w:eastAsia="Cambria" w:hAnsiTheme="majorBidi" w:cstheme="majorBidi"/>
          <w:bCs/>
        </w:rPr>
        <w:t xml:space="preserve"> </w:t>
      </w:r>
      <w:r w:rsidRPr="006A4361">
        <w:rPr>
          <w:rFonts w:asciiTheme="majorBidi" w:hAnsiTheme="majorBidi" w:cstheme="majorBidi"/>
          <w:bCs/>
        </w:rPr>
        <w:t xml:space="preserve">value </w:t>
      </w:r>
      <w:r w:rsidRPr="006A4361">
        <w:rPr>
          <w:rFonts w:asciiTheme="majorBidi" w:eastAsia="Cambria" w:hAnsiTheme="majorBidi" w:cstheme="majorBidi"/>
          <w:bCs/>
        </w:rPr>
        <w:t>(</w:t>
      </w:r>
      <w:r w:rsidRPr="006A4361">
        <w:rPr>
          <w:rFonts w:asciiTheme="majorBidi" w:hAnsiTheme="majorBidi" w:cstheme="majorBidi"/>
          <w:bCs/>
        </w:rPr>
        <w:t>2</w:t>
      </w:r>
      <w:r w:rsidRPr="006A4361">
        <w:rPr>
          <w:rFonts w:asciiTheme="majorBidi" w:eastAsia="Cambria" w:hAnsiTheme="majorBidi" w:cstheme="majorBidi"/>
          <w:bCs/>
        </w:rPr>
        <w:t>4.61</w:t>
      </w:r>
      <w:r w:rsidRPr="006A4361">
        <w:rPr>
          <w:rFonts w:asciiTheme="majorBidi" w:hAnsiTheme="majorBidi" w:cstheme="majorBidi"/>
          <w:bCs/>
        </w:rPr>
        <w:t xml:space="preserve"> </w:t>
      </w:r>
      <w:r w:rsidRPr="006A4361">
        <w:rPr>
          <w:rFonts w:asciiTheme="majorBidi" w:eastAsia="Cambria" w:hAnsiTheme="majorBidi" w:cstheme="majorBidi"/>
        </w:rPr>
        <w:t>wt. %</w:t>
      </w:r>
      <w:r w:rsidRPr="006A4361">
        <w:rPr>
          <w:rFonts w:asciiTheme="majorBidi" w:eastAsia="Cambria" w:hAnsiTheme="majorBidi" w:cstheme="majorBidi"/>
          <w:bCs/>
        </w:rPr>
        <w:t>)</w:t>
      </w:r>
      <w:r w:rsidRPr="006A4361">
        <w:rPr>
          <w:rFonts w:asciiTheme="majorBidi" w:hAnsiTheme="majorBidi" w:cstheme="majorBidi"/>
          <w:bCs/>
        </w:rPr>
        <w:t xml:space="preserve"> occurring at the same depth of the maximum </w:t>
      </w:r>
      <w:r w:rsidRPr="006A4361">
        <w:rPr>
          <w:rFonts w:asciiTheme="majorBidi" w:eastAsia="Cambria" w:hAnsiTheme="majorBidi" w:cstheme="majorBidi"/>
          <w:bCs/>
        </w:rPr>
        <w:t>δ</w:t>
      </w:r>
      <w:r w:rsidRPr="006A4361">
        <w:rPr>
          <w:rFonts w:asciiTheme="majorBidi" w:eastAsia="Cambria" w:hAnsiTheme="majorBidi" w:cstheme="majorBidi"/>
          <w:bCs/>
          <w:vertAlign w:val="superscript"/>
        </w:rPr>
        <w:t>13</w:t>
      </w:r>
      <w:r w:rsidRPr="006A4361">
        <w:rPr>
          <w:rFonts w:asciiTheme="majorBidi" w:eastAsia="Cambria" w:hAnsiTheme="majorBidi" w:cstheme="majorBidi"/>
          <w:bCs/>
        </w:rPr>
        <w:t>C</w:t>
      </w:r>
      <w:r w:rsidRPr="006A4361">
        <w:rPr>
          <w:rFonts w:asciiTheme="majorBidi" w:eastAsia="Cambria" w:hAnsiTheme="majorBidi" w:cstheme="majorBidi"/>
          <w:bCs/>
          <w:vertAlign w:val="subscript"/>
        </w:rPr>
        <w:t>org</w:t>
      </w:r>
      <w:r w:rsidRPr="006A4361">
        <w:rPr>
          <w:rFonts w:asciiTheme="majorBidi" w:hAnsiTheme="majorBidi" w:cstheme="majorBidi"/>
          <w:bCs/>
        </w:rPr>
        <w:t xml:space="preserve"> shift (Fig. 3). Both evidences suggest prevailing reducing conditions. The precise identification of the OAE2 is significant because this is the first time it has been recognized in the </w:t>
      </w:r>
      <w:proofErr w:type="spellStart"/>
      <w:r w:rsidRPr="006A4361">
        <w:rPr>
          <w:rFonts w:asciiTheme="majorBidi" w:hAnsiTheme="majorBidi" w:cstheme="majorBidi"/>
          <w:bCs/>
        </w:rPr>
        <w:t>Razzak</w:t>
      </w:r>
      <w:proofErr w:type="spellEnd"/>
      <w:r w:rsidRPr="006A4361">
        <w:rPr>
          <w:rFonts w:asciiTheme="majorBidi" w:hAnsiTheme="majorBidi" w:cstheme="majorBidi"/>
          <w:bCs/>
        </w:rPr>
        <w:t xml:space="preserve"> Oil Field, and the third time in the Western Desert </w:t>
      </w:r>
      <w:r w:rsidRPr="006A4361">
        <w:rPr>
          <w:rFonts w:asciiTheme="majorBidi" w:hAnsiTheme="majorBidi" w:cstheme="majorBidi"/>
        </w:rPr>
        <w:t>(Ibrahim et al., 2009; El Beialy et al., 2010)</w:t>
      </w:r>
      <w:r w:rsidR="002D4EC6">
        <w:rPr>
          <w:rFonts w:asciiTheme="majorBidi" w:hAnsiTheme="majorBidi" w:cstheme="majorBidi"/>
        </w:rPr>
        <w:t>,</w:t>
      </w:r>
      <w:r w:rsidRPr="006A4361">
        <w:rPr>
          <w:rFonts w:asciiTheme="majorBidi" w:hAnsiTheme="majorBidi" w:cstheme="majorBidi"/>
        </w:rPr>
        <w:t xml:space="preserve"> thus providing impetus for using it </w:t>
      </w:r>
      <w:r w:rsidRPr="006A4361">
        <w:rPr>
          <w:rFonts w:asciiTheme="majorBidi" w:hAnsiTheme="majorBidi" w:cstheme="majorBidi"/>
          <w:bCs/>
        </w:rPr>
        <w:t>as a key horizon for subsurface correlation in the Razzak Field.</w:t>
      </w:r>
    </w:p>
    <w:p w:rsidR="000B6159" w:rsidRPr="008E4AA8" w:rsidRDefault="000B6159" w:rsidP="001F59D8">
      <w:pPr>
        <w:widowControl w:val="0"/>
        <w:autoSpaceDE w:val="0"/>
        <w:autoSpaceDN w:val="0"/>
        <w:adjustRightInd w:val="0"/>
        <w:spacing w:line="480" w:lineRule="auto"/>
        <w:rPr>
          <w:rFonts w:asciiTheme="majorBidi" w:hAnsiTheme="majorBidi" w:cstheme="majorBidi"/>
          <w:bCs/>
        </w:rPr>
      </w:pPr>
    </w:p>
    <w:p w:rsidR="008A3011" w:rsidRPr="008E4AA8" w:rsidRDefault="006A4361">
      <w:pPr>
        <w:spacing w:line="480" w:lineRule="auto"/>
        <w:rPr>
          <w:rFonts w:asciiTheme="majorBidi" w:hAnsiTheme="majorBidi" w:cstheme="majorBidi"/>
          <w:bCs/>
          <w:i/>
          <w:iCs/>
        </w:rPr>
      </w:pPr>
      <w:r w:rsidRPr="006A4361">
        <w:rPr>
          <w:rFonts w:asciiTheme="majorBidi" w:hAnsiTheme="majorBidi" w:cstheme="majorBidi"/>
          <w:bCs/>
          <w:i/>
          <w:iCs/>
        </w:rPr>
        <w:t>4.2. Source rock potential</w:t>
      </w:r>
    </w:p>
    <w:p w:rsidR="006C680B" w:rsidRPr="008E4AA8" w:rsidRDefault="006A4361">
      <w:pPr>
        <w:widowControl w:val="0"/>
        <w:autoSpaceDE w:val="0"/>
        <w:autoSpaceDN w:val="0"/>
        <w:adjustRightInd w:val="0"/>
        <w:spacing w:line="480" w:lineRule="auto"/>
        <w:ind w:firstLine="720"/>
        <w:rPr>
          <w:rFonts w:asciiTheme="majorBidi" w:hAnsiTheme="majorBidi" w:cstheme="majorBidi"/>
        </w:rPr>
      </w:pPr>
      <w:r w:rsidRPr="006A4361">
        <w:rPr>
          <w:rFonts w:asciiTheme="majorBidi" w:hAnsiTheme="majorBidi" w:cstheme="majorBidi"/>
        </w:rPr>
        <w:t>Source rock horizons are considered to be among the most important play elements in any hydrocarbon system. Exploration geologists always pay attention to source rock layers and meticulously study their characteristics in order to fully understand them. Among the crucial aspects studied for any source rock are the amounts of organic matter accumulated during deposition, post-depositional alterations (</w:t>
      </w:r>
      <w:proofErr w:type="spellStart"/>
      <w:r w:rsidRPr="006A4361">
        <w:rPr>
          <w:rFonts w:asciiTheme="majorBidi" w:hAnsiTheme="majorBidi" w:cstheme="majorBidi"/>
        </w:rPr>
        <w:t>diagenesis</w:t>
      </w:r>
      <w:proofErr w:type="spellEnd"/>
      <w:r w:rsidRPr="006A4361">
        <w:rPr>
          <w:rFonts w:asciiTheme="majorBidi" w:hAnsiTheme="majorBidi" w:cstheme="majorBidi"/>
        </w:rPr>
        <w:t>), and degree of thermal maturation. These are fundamental to identifying the hydrocarbon type and potential yield of a given source rock.</w:t>
      </w:r>
    </w:p>
    <w:p w:rsidR="006C680B" w:rsidRPr="008E4AA8" w:rsidRDefault="006A4361">
      <w:pPr>
        <w:widowControl w:val="0"/>
        <w:autoSpaceDE w:val="0"/>
        <w:autoSpaceDN w:val="0"/>
        <w:adjustRightInd w:val="0"/>
        <w:spacing w:line="480" w:lineRule="auto"/>
        <w:rPr>
          <w:rFonts w:asciiTheme="majorBidi" w:hAnsiTheme="majorBidi" w:cstheme="majorBidi"/>
        </w:rPr>
      </w:pPr>
      <w:r w:rsidRPr="006A4361">
        <w:rPr>
          <w:rFonts w:asciiTheme="majorBidi" w:hAnsiTheme="majorBidi" w:cstheme="majorBidi"/>
        </w:rPr>
        <w:tab/>
        <w:t>Palynofacies (kerogen) analysis has successfully been used to provide valuable source rock information. It has an excellent degree of accuracy when compared to instrumental geochemical analyses such as TOC, vitrinite reflectanc</w:t>
      </w:r>
      <w:r w:rsidR="00E40E09" w:rsidRPr="008E4AA8">
        <w:rPr>
          <w:rFonts w:asciiTheme="majorBidi" w:hAnsiTheme="majorBidi" w:cstheme="majorBidi"/>
        </w:rPr>
        <w:t xml:space="preserve">e </w:t>
      </w:r>
      <w:r w:rsidRPr="006A4361">
        <w:rPr>
          <w:rFonts w:asciiTheme="majorBidi" w:eastAsia="Cambria" w:hAnsiTheme="majorBidi" w:cstheme="majorBidi"/>
          <w:color w:val="000000"/>
        </w:rPr>
        <w:t>(R</w:t>
      </w:r>
      <w:r w:rsidRPr="006A4361">
        <w:rPr>
          <w:rFonts w:asciiTheme="majorBidi" w:eastAsia="Cambria" w:hAnsiTheme="majorBidi" w:cstheme="majorBidi"/>
          <w:color w:val="000000"/>
          <w:vertAlign w:val="subscript"/>
        </w:rPr>
        <w:t>o</w:t>
      </w:r>
      <w:r w:rsidR="00E40E09" w:rsidRPr="008E4AA8">
        <w:rPr>
          <w:rFonts w:asciiTheme="majorBidi" w:hAnsiTheme="majorBidi" w:cstheme="majorBidi"/>
          <w:color w:val="000000"/>
          <w:vertAlign w:val="subscript"/>
        </w:rPr>
        <w:t xml:space="preserve"> </w:t>
      </w:r>
      <w:r w:rsidRPr="006A4361">
        <w:rPr>
          <w:rFonts w:asciiTheme="majorBidi" w:eastAsia="Cambria" w:hAnsiTheme="majorBidi" w:cstheme="majorBidi"/>
          <w:color w:val="000000"/>
        </w:rPr>
        <w:t>%),</w:t>
      </w:r>
      <w:r w:rsidR="00AF0508" w:rsidRPr="008E4AA8">
        <w:rPr>
          <w:rFonts w:asciiTheme="majorBidi" w:hAnsiTheme="majorBidi" w:cstheme="majorBidi"/>
        </w:rPr>
        <w:t xml:space="preserve"> and Rock-Eval Pyrolysis </w:t>
      </w:r>
      <w:r w:rsidRPr="006A4361">
        <w:rPr>
          <w:rFonts w:asciiTheme="majorBidi" w:hAnsiTheme="majorBidi" w:cstheme="majorBidi"/>
        </w:rPr>
        <w:t>(Zobaa et al., 2007, 2009a, 2009b; El Beialy et al., 2010)</w:t>
      </w:r>
      <w:r w:rsidR="00AF0508" w:rsidRPr="008E4AA8">
        <w:rPr>
          <w:rFonts w:asciiTheme="majorBidi" w:hAnsiTheme="majorBidi" w:cstheme="majorBidi"/>
        </w:rPr>
        <w:t xml:space="preserve">. Kerogen is a </w:t>
      </w:r>
      <w:proofErr w:type="spellStart"/>
      <w:r w:rsidR="00AF0508" w:rsidRPr="008E4AA8">
        <w:rPr>
          <w:rFonts w:asciiTheme="majorBidi" w:hAnsiTheme="majorBidi" w:cstheme="majorBidi"/>
        </w:rPr>
        <w:t>diagenetic</w:t>
      </w:r>
      <w:proofErr w:type="spellEnd"/>
      <w:r w:rsidR="00AF0508" w:rsidRPr="008E4AA8">
        <w:rPr>
          <w:rFonts w:asciiTheme="majorBidi" w:hAnsiTheme="majorBidi" w:cstheme="majorBidi"/>
        </w:rPr>
        <w:t xml:space="preserve"> product of the original organic matter preserved in the sediments as a result of increased burial under favorable conditions of temperature and pressure. Further alteration (</w:t>
      </w:r>
      <w:proofErr w:type="spellStart"/>
      <w:r w:rsidR="00AF0508" w:rsidRPr="008E4AA8">
        <w:rPr>
          <w:rFonts w:asciiTheme="majorBidi" w:hAnsiTheme="majorBidi" w:cstheme="majorBidi"/>
        </w:rPr>
        <w:t>catagenesis</w:t>
      </w:r>
      <w:proofErr w:type="spellEnd"/>
      <w:r w:rsidR="00AF0508" w:rsidRPr="008E4AA8">
        <w:rPr>
          <w:rFonts w:asciiTheme="majorBidi" w:hAnsiTheme="majorBidi" w:cstheme="majorBidi"/>
        </w:rPr>
        <w:t>) converts kerogen to bitumen</w:t>
      </w:r>
      <w:r w:rsidR="00551DC9">
        <w:rPr>
          <w:rFonts w:asciiTheme="majorBidi" w:hAnsiTheme="majorBidi" w:cstheme="majorBidi"/>
        </w:rPr>
        <w:t xml:space="preserve">, which ultimately transforms into either oil or gas, depending on the type of organic matter present and the prevailing environmental alteration setting. In the present study, we primarily followed the methodology of Tyson </w:t>
      </w:r>
      <w:r w:rsidRPr="006A4361">
        <w:rPr>
          <w:rFonts w:asciiTheme="majorBidi" w:hAnsiTheme="majorBidi" w:cstheme="majorBidi"/>
        </w:rPr>
        <w:t>(1993, 1995)</w:t>
      </w:r>
      <w:r w:rsidR="00AF0508" w:rsidRPr="008E4AA8">
        <w:rPr>
          <w:rFonts w:asciiTheme="majorBidi" w:hAnsiTheme="majorBidi" w:cstheme="majorBidi"/>
        </w:rPr>
        <w:t xml:space="preserve"> who discussed four kerogen </w:t>
      </w:r>
      <w:r w:rsidR="00AF0508" w:rsidRPr="008E4AA8">
        <w:rPr>
          <w:rFonts w:asciiTheme="majorBidi" w:hAnsiTheme="majorBidi" w:cstheme="majorBidi"/>
        </w:rPr>
        <w:lastRenderedPageBreak/>
        <w:t>assemblages (I–IV) that can be routinely used to study hydrocarbon source rock potential. It</w:t>
      </w:r>
      <w:r w:rsidR="00551DC9">
        <w:rPr>
          <w:rFonts w:asciiTheme="majorBidi" w:hAnsiTheme="majorBidi" w:cstheme="majorBidi"/>
        </w:rPr>
        <w:t xml:space="preserve"> is worth noting that the term kerogen refers to the dispersed particulate organic matter contained in sedimentary rocks that are resistant to the inorganic (mineral) acids HCl and HF </w:t>
      </w:r>
      <w:r w:rsidRPr="006A4361">
        <w:rPr>
          <w:rFonts w:asciiTheme="majorBidi" w:hAnsiTheme="majorBidi" w:cstheme="majorBidi"/>
        </w:rPr>
        <w:t>(Tyson, 1995)</w:t>
      </w:r>
      <w:r w:rsidR="00AF0508" w:rsidRPr="008E4AA8">
        <w:rPr>
          <w:rFonts w:asciiTheme="majorBidi" w:hAnsiTheme="majorBidi" w:cstheme="majorBidi"/>
        </w:rPr>
        <w:t>.</w:t>
      </w:r>
    </w:p>
    <w:p w:rsidR="00894942" w:rsidRPr="008E4AA8" w:rsidRDefault="006A4361" w:rsidP="00C121B9">
      <w:pPr>
        <w:widowControl w:val="0"/>
        <w:autoSpaceDE w:val="0"/>
        <w:autoSpaceDN w:val="0"/>
        <w:adjustRightInd w:val="0"/>
        <w:spacing w:line="480" w:lineRule="auto"/>
        <w:ind w:firstLine="720"/>
        <w:rPr>
          <w:rFonts w:asciiTheme="majorBidi" w:hAnsiTheme="majorBidi" w:cstheme="majorBidi"/>
        </w:rPr>
      </w:pPr>
      <w:r w:rsidRPr="006A4361">
        <w:rPr>
          <w:rFonts w:asciiTheme="majorBidi" w:hAnsiTheme="majorBidi" w:cstheme="majorBidi"/>
        </w:rPr>
        <w:t>Two distinct zones of kerogen material have been identified (Fig. 3). The lower zone occurs within the upper “G” and much of the “F” members (samples 69–55) and is AOM-rich (≥ 9</w:t>
      </w:r>
      <w:r w:rsidR="007B5FF7">
        <w:rPr>
          <w:rFonts w:asciiTheme="majorBidi" w:hAnsiTheme="majorBidi" w:cstheme="majorBidi"/>
        </w:rPr>
        <w:t>4</w:t>
      </w:r>
      <w:r w:rsidRPr="006A4361">
        <w:rPr>
          <w:rFonts w:asciiTheme="majorBidi" w:hAnsiTheme="majorBidi" w:cstheme="majorBidi"/>
        </w:rPr>
        <w:t xml:space="preserve"> % of the total kerogen count). This is characteristic of type I kerogen and indicates highly oil prone materials (Tyson, 1993, 1995; Ibrahim et al., 1997; Ibrahim, 2002). Based on visual and instrumental analyses, El Beialy et al. (2010) reported that Abu Roash “F” member in the GPTSW-7 well, north Western Desert contained immature oil prone material composed of 100 % percent AOM. Their observation supports our results and suggests similar depositional conditions for the Razzak #7 </w:t>
      </w:r>
      <w:r w:rsidRPr="006A4361">
        <w:rPr>
          <w:rFonts w:asciiTheme="majorBidi" w:hAnsiTheme="majorBidi" w:cstheme="majorBidi"/>
          <w:bCs/>
        </w:rPr>
        <w:t>and GPTSW-7 wells.</w:t>
      </w:r>
    </w:p>
    <w:p w:rsidR="0082626C" w:rsidRPr="008E4AA8" w:rsidRDefault="006A4361" w:rsidP="00C121B9">
      <w:pPr>
        <w:widowControl w:val="0"/>
        <w:autoSpaceDE w:val="0"/>
        <w:autoSpaceDN w:val="0"/>
        <w:adjustRightInd w:val="0"/>
        <w:spacing w:line="480" w:lineRule="auto"/>
        <w:ind w:firstLine="720"/>
        <w:rPr>
          <w:rFonts w:asciiTheme="majorBidi" w:hAnsiTheme="majorBidi" w:cstheme="majorBidi"/>
        </w:rPr>
      </w:pPr>
      <w:r w:rsidRPr="006A4361">
        <w:rPr>
          <w:rFonts w:asciiTheme="majorBidi" w:hAnsiTheme="majorBidi" w:cstheme="majorBidi"/>
        </w:rPr>
        <w:t xml:space="preserve">The upper zone occurs within the uppermost “F” and lower “E” members (samples 54–48) and is dominated by both phytoclasts and AOM (average 63 % AOM and 36 % phytoclasts of the total kerogen count). Type II to III kerogen is suggested for this zone, which is indicative of oil to gas prone materials. We note here that Schlumberger (1995) indicated that in the Western Desert, the Abu Roash “F” member is gas prone, which is partially supported by our findings from the Razzak #7 oil well. However, the statement by Schlumberger (1995) is an oversimplification that should be taken with caution since the Western Desert contains many basins with variable depositional, burial, and thermal histories. Previous authors (e.g., </w:t>
      </w:r>
      <w:proofErr w:type="spellStart"/>
      <w:r w:rsidRPr="006A4361">
        <w:rPr>
          <w:rFonts w:asciiTheme="majorBidi" w:hAnsiTheme="majorBidi" w:cstheme="majorBidi"/>
        </w:rPr>
        <w:t>Khaled</w:t>
      </w:r>
      <w:proofErr w:type="spellEnd"/>
      <w:r w:rsidRPr="006A4361">
        <w:rPr>
          <w:rFonts w:asciiTheme="majorBidi" w:hAnsiTheme="majorBidi" w:cstheme="majorBidi"/>
        </w:rPr>
        <w:t xml:space="preserve">, 1999; El </w:t>
      </w:r>
      <w:proofErr w:type="spellStart"/>
      <w:r w:rsidRPr="006A4361">
        <w:rPr>
          <w:rFonts w:asciiTheme="majorBidi" w:hAnsiTheme="majorBidi" w:cstheme="majorBidi"/>
        </w:rPr>
        <w:t>Beialy</w:t>
      </w:r>
      <w:proofErr w:type="spellEnd"/>
      <w:r w:rsidRPr="006A4361">
        <w:rPr>
          <w:rFonts w:asciiTheme="majorBidi" w:hAnsiTheme="majorBidi" w:cstheme="majorBidi"/>
        </w:rPr>
        <w:t xml:space="preserve"> et al., 2010) have documented similar findings about the “E” member in other basins within the Western Desert.</w:t>
      </w:r>
    </w:p>
    <w:p w:rsidR="00AF0508" w:rsidRPr="008E4AA8" w:rsidRDefault="006A4361" w:rsidP="00333C35">
      <w:pPr>
        <w:widowControl w:val="0"/>
        <w:autoSpaceDE w:val="0"/>
        <w:autoSpaceDN w:val="0"/>
        <w:adjustRightInd w:val="0"/>
        <w:spacing w:line="480" w:lineRule="auto"/>
        <w:ind w:firstLine="720"/>
        <w:rPr>
          <w:rFonts w:asciiTheme="majorBidi" w:hAnsiTheme="majorBidi" w:cstheme="majorBidi"/>
          <w:bCs/>
        </w:rPr>
      </w:pPr>
      <w:r w:rsidRPr="006A4361">
        <w:rPr>
          <w:rFonts w:asciiTheme="majorBidi" w:hAnsiTheme="majorBidi" w:cstheme="majorBidi"/>
        </w:rPr>
        <w:t xml:space="preserve">TOC analysis of the sediments confirms our palynofacies findings. The highest recorded TOC value occurred within the AOM abundant lower zone (Fig. 3), indicating a plethora of </w:t>
      </w:r>
      <w:r w:rsidRPr="006A4361">
        <w:rPr>
          <w:rFonts w:asciiTheme="majorBidi" w:hAnsiTheme="majorBidi" w:cstheme="majorBidi"/>
        </w:rPr>
        <w:lastRenderedPageBreak/>
        <w:t xml:space="preserve">organic matter preserved under adequately reducing conditions. This is also in agreement with </w:t>
      </w:r>
      <w:r w:rsidRPr="006A4361">
        <w:rPr>
          <w:rFonts w:asciiTheme="majorBidi" w:hAnsiTheme="majorBidi" w:cstheme="majorBidi"/>
          <w:bCs/>
        </w:rPr>
        <w:t xml:space="preserve">Tyson </w:t>
      </w:r>
      <w:r w:rsidRPr="006A4361">
        <w:rPr>
          <w:rFonts w:asciiTheme="majorBidi" w:hAnsiTheme="majorBidi" w:cstheme="majorBidi"/>
        </w:rPr>
        <w:t>(1989)</w:t>
      </w:r>
      <w:r w:rsidRPr="006A4361">
        <w:rPr>
          <w:rFonts w:asciiTheme="majorBidi" w:hAnsiTheme="majorBidi" w:cstheme="majorBidi"/>
          <w:bCs/>
        </w:rPr>
        <w:t xml:space="preserve"> who indicated that the percentage values obtained for TOC correlated well with variations in AOM abundance.</w:t>
      </w:r>
    </w:p>
    <w:p w:rsidR="006C680B" w:rsidRPr="008E4AA8" w:rsidRDefault="006A4361">
      <w:pPr>
        <w:widowControl w:val="0"/>
        <w:autoSpaceDE w:val="0"/>
        <w:autoSpaceDN w:val="0"/>
        <w:adjustRightInd w:val="0"/>
        <w:spacing w:line="480" w:lineRule="auto"/>
        <w:ind w:firstLine="720"/>
        <w:rPr>
          <w:rFonts w:asciiTheme="majorBidi" w:hAnsiTheme="majorBidi" w:cstheme="majorBidi"/>
          <w:bCs/>
        </w:rPr>
      </w:pPr>
      <w:r w:rsidRPr="006A4361">
        <w:rPr>
          <w:rFonts w:asciiTheme="majorBidi" w:eastAsia="Cambria" w:hAnsiTheme="majorBidi" w:cstheme="majorBidi"/>
        </w:rPr>
        <w:t xml:space="preserve">There is an agreement among organic geochemists that a rock can be considered as a source of hydrocarbon if it contains more than 0.5 % TOC for </w:t>
      </w:r>
      <w:proofErr w:type="spellStart"/>
      <w:r w:rsidRPr="006A4361">
        <w:rPr>
          <w:rFonts w:asciiTheme="majorBidi" w:eastAsia="Cambria" w:hAnsiTheme="majorBidi" w:cstheme="majorBidi"/>
        </w:rPr>
        <w:t>shales</w:t>
      </w:r>
      <w:proofErr w:type="spellEnd"/>
      <w:r w:rsidRPr="006A4361">
        <w:rPr>
          <w:rFonts w:asciiTheme="majorBidi" w:eastAsia="Cambria" w:hAnsiTheme="majorBidi" w:cstheme="majorBidi"/>
        </w:rPr>
        <w:t xml:space="preserve">, and at least 0.3 % TOC for carbonates </w:t>
      </w:r>
      <w:r w:rsidRPr="006A4361">
        <w:rPr>
          <w:rFonts w:asciiTheme="majorBidi" w:hAnsiTheme="majorBidi" w:cstheme="majorBidi"/>
        </w:rPr>
        <w:t>(Hasegawa, 1997; Wood et al., 1997; Ibrahim et al., 2002)</w:t>
      </w:r>
      <w:r w:rsidRPr="006A4361">
        <w:rPr>
          <w:rFonts w:asciiTheme="majorBidi" w:eastAsia="Cambria" w:hAnsiTheme="majorBidi" w:cstheme="majorBidi"/>
        </w:rPr>
        <w:t xml:space="preserve">. The TOC values reported here for these Abu </w:t>
      </w:r>
      <w:proofErr w:type="spellStart"/>
      <w:r w:rsidRPr="006A4361">
        <w:rPr>
          <w:rFonts w:asciiTheme="majorBidi" w:eastAsia="Cambria" w:hAnsiTheme="majorBidi" w:cstheme="majorBidi"/>
        </w:rPr>
        <w:t>Roash</w:t>
      </w:r>
      <w:proofErr w:type="spellEnd"/>
      <w:r w:rsidRPr="006A4361">
        <w:rPr>
          <w:rFonts w:asciiTheme="majorBidi" w:eastAsia="Cambria" w:hAnsiTheme="majorBidi" w:cstheme="majorBidi"/>
        </w:rPr>
        <w:t xml:space="preserve"> carbonates vary from a minimum of 1.10 wt. % in the lower “E” member to a maximum of 24.61 wt. % in the basal “F” member, suggesting that they contain sufficient organic matter for significant generation and expulsion. Moreover, </w:t>
      </w:r>
      <w:r w:rsidRPr="006A4361">
        <w:rPr>
          <w:rFonts w:asciiTheme="majorBidi" w:hAnsiTheme="majorBidi" w:cstheme="majorBidi"/>
        </w:rPr>
        <w:t>qualitative analysis of palynomorph colors, although sparsely represented, indicates that these sediments may be thermally mature. Accordingly, it is believed that the studied section qualifies as an excellent source rock.</w:t>
      </w:r>
    </w:p>
    <w:p w:rsidR="0078745E" w:rsidRPr="008E4AA8" w:rsidRDefault="0078745E">
      <w:pPr>
        <w:widowControl w:val="0"/>
        <w:autoSpaceDE w:val="0"/>
        <w:autoSpaceDN w:val="0"/>
        <w:adjustRightInd w:val="0"/>
        <w:spacing w:line="480" w:lineRule="auto"/>
        <w:rPr>
          <w:rFonts w:asciiTheme="majorBidi" w:hAnsiTheme="majorBidi" w:cstheme="majorBidi"/>
          <w:bCs/>
        </w:rPr>
      </w:pPr>
    </w:p>
    <w:p w:rsidR="006C680B" w:rsidRPr="008E4AA8" w:rsidRDefault="006A4361">
      <w:pPr>
        <w:widowControl w:val="0"/>
        <w:autoSpaceDE w:val="0"/>
        <w:autoSpaceDN w:val="0"/>
        <w:adjustRightInd w:val="0"/>
        <w:spacing w:line="480" w:lineRule="auto"/>
        <w:rPr>
          <w:rFonts w:asciiTheme="majorBidi" w:hAnsiTheme="majorBidi" w:cstheme="majorBidi"/>
          <w:bCs/>
        </w:rPr>
      </w:pPr>
      <w:r w:rsidRPr="006A4361">
        <w:rPr>
          <w:rFonts w:asciiTheme="majorBidi" w:hAnsiTheme="majorBidi" w:cstheme="majorBidi"/>
          <w:bCs/>
          <w:i/>
          <w:iCs/>
        </w:rPr>
        <w:t xml:space="preserve">4.3. </w:t>
      </w:r>
      <w:proofErr w:type="spellStart"/>
      <w:r w:rsidRPr="006A4361">
        <w:rPr>
          <w:rFonts w:asciiTheme="majorBidi" w:hAnsiTheme="majorBidi" w:cstheme="majorBidi"/>
          <w:bCs/>
          <w:i/>
          <w:iCs/>
        </w:rPr>
        <w:t>Paleoenvironmental</w:t>
      </w:r>
      <w:proofErr w:type="spellEnd"/>
      <w:r w:rsidRPr="006A4361">
        <w:rPr>
          <w:rFonts w:asciiTheme="majorBidi" w:hAnsiTheme="majorBidi" w:cstheme="majorBidi"/>
          <w:bCs/>
          <w:i/>
          <w:iCs/>
        </w:rPr>
        <w:t xml:space="preserve"> reconstruction</w:t>
      </w:r>
    </w:p>
    <w:p w:rsidR="006C680B" w:rsidRPr="008E4AA8" w:rsidRDefault="006A4361">
      <w:pPr>
        <w:widowControl w:val="0"/>
        <w:autoSpaceDE w:val="0"/>
        <w:autoSpaceDN w:val="0"/>
        <w:adjustRightInd w:val="0"/>
        <w:spacing w:line="480" w:lineRule="auto"/>
        <w:ind w:firstLine="720"/>
        <w:rPr>
          <w:rFonts w:asciiTheme="majorBidi" w:hAnsiTheme="majorBidi" w:cstheme="majorBidi"/>
          <w:bCs/>
        </w:rPr>
      </w:pPr>
      <w:proofErr w:type="spellStart"/>
      <w:r w:rsidRPr="006A4361">
        <w:rPr>
          <w:rFonts w:asciiTheme="majorBidi" w:hAnsiTheme="majorBidi" w:cstheme="majorBidi"/>
          <w:bCs/>
        </w:rPr>
        <w:t>Paleoenvironmental</w:t>
      </w:r>
      <w:proofErr w:type="spellEnd"/>
      <w:r w:rsidRPr="006A4361">
        <w:rPr>
          <w:rFonts w:asciiTheme="majorBidi" w:hAnsiTheme="majorBidi" w:cstheme="majorBidi"/>
          <w:bCs/>
        </w:rPr>
        <w:t xml:space="preserve"> reconstruction is primarily based on kerogen composition and geochemical data. Palynomorphs, when applicable, played a secondary role in our interpretation due to their inadequate and unreliable representation in most of the analyzed samples. The upper “G” and much of the “F” members in the </w:t>
      </w:r>
      <w:r w:rsidRPr="006A4361">
        <w:rPr>
          <w:rFonts w:asciiTheme="majorBidi" w:hAnsiTheme="majorBidi" w:cstheme="majorBidi"/>
        </w:rPr>
        <w:t>Razzak #7 oil well</w:t>
      </w:r>
      <w:r w:rsidRPr="006A4361">
        <w:rPr>
          <w:rFonts w:asciiTheme="majorBidi" w:hAnsiTheme="majorBidi" w:cstheme="majorBidi"/>
          <w:bCs/>
        </w:rPr>
        <w:t xml:space="preserve"> (depth 1591.1–1545.3 m) contain enormous amounts of marine AOM and are almost barren of other kerogen constituents and palynomorphs (Fig. 3). This argues for anoxic deep marine conditions, which are known to be advantageous for AOM preservation </w:t>
      </w:r>
      <w:r w:rsidRPr="006A4361">
        <w:rPr>
          <w:rFonts w:asciiTheme="majorBidi" w:hAnsiTheme="majorBidi" w:cstheme="majorBidi"/>
        </w:rPr>
        <w:t>(Tyson, 1995)</w:t>
      </w:r>
      <w:r w:rsidRPr="006A4361">
        <w:rPr>
          <w:rFonts w:asciiTheme="majorBidi" w:hAnsiTheme="majorBidi" w:cstheme="majorBidi"/>
          <w:bCs/>
        </w:rPr>
        <w:t xml:space="preserve">. Terrestrially derived kerogen and palynomorphs were either not transported into the deeper basin, or simply masked by the large amounts of AOM. The absence of marine palynomorphs such as dinoflagellates and </w:t>
      </w:r>
      <w:proofErr w:type="spellStart"/>
      <w:r w:rsidRPr="006A4361">
        <w:rPr>
          <w:rFonts w:asciiTheme="majorBidi" w:hAnsiTheme="majorBidi" w:cstheme="majorBidi"/>
          <w:bCs/>
        </w:rPr>
        <w:t>acritarchs</w:t>
      </w:r>
      <w:proofErr w:type="spellEnd"/>
      <w:r w:rsidRPr="006A4361">
        <w:rPr>
          <w:rFonts w:asciiTheme="majorBidi" w:hAnsiTheme="majorBidi" w:cstheme="majorBidi"/>
          <w:bCs/>
        </w:rPr>
        <w:t xml:space="preserve"> </w:t>
      </w:r>
      <w:r w:rsidRPr="006A4361">
        <w:rPr>
          <w:rFonts w:asciiTheme="majorBidi" w:hAnsiTheme="majorBidi" w:cstheme="majorBidi"/>
          <w:bCs/>
        </w:rPr>
        <w:lastRenderedPageBreak/>
        <w:t xml:space="preserve">can be attributed to sediment starvation, which promoted adequate circumstances for anaerobic microbial degradation. This consequently converted marine palynomorphs to AOM. The associated high TOC values in that interval confirm the inferred anoxic sediment starved setting where low sediment contribution allowed more organic matter to accumulate, increasing the organic/inorganic ratio of the sediments. Arthur et al. </w:t>
      </w:r>
      <w:r w:rsidRPr="006A4361">
        <w:rPr>
          <w:rFonts w:asciiTheme="majorBidi" w:hAnsiTheme="majorBidi" w:cstheme="majorBidi"/>
        </w:rPr>
        <w:t>(1988)</w:t>
      </w:r>
      <w:r w:rsidRPr="006A4361">
        <w:rPr>
          <w:rFonts w:asciiTheme="majorBidi" w:hAnsiTheme="majorBidi" w:cstheme="majorBidi"/>
          <w:bCs/>
        </w:rPr>
        <w:t xml:space="preserve"> stated that the OAE2 took place during a major global sea-level rise. Since the north Western Desert, including the Razzak Field, was part of the </w:t>
      </w:r>
      <w:proofErr w:type="spellStart"/>
      <w:r w:rsidRPr="006A4361">
        <w:rPr>
          <w:rFonts w:asciiTheme="majorBidi" w:hAnsiTheme="majorBidi" w:cstheme="majorBidi"/>
          <w:bCs/>
        </w:rPr>
        <w:t>Tethyan</w:t>
      </w:r>
      <w:proofErr w:type="spellEnd"/>
      <w:r w:rsidRPr="006A4361">
        <w:rPr>
          <w:rFonts w:asciiTheme="majorBidi" w:hAnsiTheme="majorBidi" w:cstheme="majorBidi"/>
          <w:bCs/>
        </w:rPr>
        <w:t xml:space="preserve"> realm, the region most likely experienced this sea-level rise (Figs. 1, 2). The occurrence of the OAE2 approximately in the middle of this interval (upper “G” and much of the “F”) further confirms the suggested deep marine anoxic conditions.</w:t>
      </w:r>
    </w:p>
    <w:p w:rsidR="000C4A59" w:rsidRPr="008E4AA8" w:rsidRDefault="006A4361" w:rsidP="00671D04">
      <w:pPr>
        <w:widowControl w:val="0"/>
        <w:autoSpaceDE w:val="0"/>
        <w:autoSpaceDN w:val="0"/>
        <w:adjustRightInd w:val="0"/>
        <w:spacing w:line="480" w:lineRule="auto"/>
        <w:ind w:firstLine="720"/>
        <w:rPr>
          <w:rFonts w:asciiTheme="majorBidi" w:hAnsiTheme="majorBidi" w:cstheme="majorBidi"/>
          <w:bCs/>
        </w:rPr>
      </w:pPr>
      <w:r w:rsidRPr="006A4361">
        <w:rPr>
          <w:rFonts w:asciiTheme="majorBidi" w:hAnsiTheme="majorBidi" w:cstheme="majorBidi"/>
          <w:bCs/>
        </w:rPr>
        <w:t xml:space="preserve">Some studies have previously noted that the “F” member in the Western Desert was deposited under deep marine depositional conditions </w:t>
      </w:r>
      <w:r w:rsidRPr="006A4361">
        <w:rPr>
          <w:rFonts w:asciiTheme="majorBidi" w:hAnsiTheme="majorBidi" w:cstheme="majorBidi"/>
        </w:rPr>
        <w:t>(</w:t>
      </w:r>
      <w:proofErr w:type="spellStart"/>
      <w:r w:rsidRPr="006A4361">
        <w:rPr>
          <w:rFonts w:asciiTheme="majorBidi" w:hAnsiTheme="majorBidi" w:cstheme="majorBidi"/>
        </w:rPr>
        <w:t>Alsharhan</w:t>
      </w:r>
      <w:proofErr w:type="spellEnd"/>
      <w:r w:rsidRPr="006A4361">
        <w:rPr>
          <w:rFonts w:asciiTheme="majorBidi" w:hAnsiTheme="majorBidi" w:cstheme="majorBidi"/>
        </w:rPr>
        <w:t xml:space="preserve"> and </w:t>
      </w:r>
      <w:proofErr w:type="spellStart"/>
      <w:r w:rsidRPr="006A4361">
        <w:rPr>
          <w:rFonts w:asciiTheme="majorBidi" w:hAnsiTheme="majorBidi" w:cstheme="majorBidi"/>
        </w:rPr>
        <w:t>Abd</w:t>
      </w:r>
      <w:proofErr w:type="spellEnd"/>
      <w:r w:rsidRPr="006A4361">
        <w:rPr>
          <w:rFonts w:asciiTheme="majorBidi" w:hAnsiTheme="majorBidi" w:cstheme="majorBidi"/>
        </w:rPr>
        <w:t xml:space="preserve"> El-</w:t>
      </w:r>
      <w:proofErr w:type="spellStart"/>
      <w:r w:rsidRPr="006A4361">
        <w:rPr>
          <w:rFonts w:asciiTheme="majorBidi" w:hAnsiTheme="majorBidi" w:cstheme="majorBidi"/>
        </w:rPr>
        <w:t>Gawad</w:t>
      </w:r>
      <w:proofErr w:type="spellEnd"/>
      <w:r w:rsidRPr="006A4361">
        <w:rPr>
          <w:rFonts w:asciiTheme="majorBidi" w:hAnsiTheme="majorBidi" w:cstheme="majorBidi"/>
        </w:rPr>
        <w:t>, 2008; El Beialy et al., 2010)</w:t>
      </w:r>
      <w:r w:rsidRPr="006A4361">
        <w:rPr>
          <w:rFonts w:asciiTheme="majorBidi" w:hAnsiTheme="majorBidi" w:cstheme="majorBidi"/>
          <w:bCs/>
        </w:rPr>
        <w:t>. This is, however, in contrast to the shallow marine to brackish water conditions indicated by Ibrahim and Al-</w:t>
      </w:r>
      <w:proofErr w:type="spellStart"/>
      <w:r w:rsidRPr="006A4361">
        <w:rPr>
          <w:rFonts w:asciiTheme="majorBidi" w:hAnsiTheme="majorBidi" w:cstheme="majorBidi"/>
          <w:bCs/>
        </w:rPr>
        <w:t>Saad</w:t>
      </w:r>
      <w:proofErr w:type="spellEnd"/>
      <w:r w:rsidRPr="006A4361">
        <w:rPr>
          <w:rFonts w:asciiTheme="majorBidi" w:hAnsiTheme="majorBidi" w:cstheme="majorBidi"/>
          <w:bCs/>
        </w:rPr>
        <w:t xml:space="preserve"> </w:t>
      </w:r>
      <w:r w:rsidRPr="006A4361">
        <w:rPr>
          <w:rFonts w:asciiTheme="majorBidi" w:hAnsiTheme="majorBidi" w:cstheme="majorBidi"/>
        </w:rPr>
        <w:t>(2000)</w:t>
      </w:r>
      <w:r w:rsidRPr="006A4361">
        <w:rPr>
          <w:rFonts w:asciiTheme="majorBidi" w:hAnsiTheme="majorBidi" w:cstheme="majorBidi"/>
          <w:bCs/>
        </w:rPr>
        <w:t xml:space="preserve"> for the Khalda-21 borehole in the Western Desert, based primarily on abundant freshwater algae </w:t>
      </w:r>
      <w:proofErr w:type="spellStart"/>
      <w:r w:rsidRPr="006A4361">
        <w:rPr>
          <w:rFonts w:asciiTheme="majorBidi" w:hAnsiTheme="majorBidi" w:cstheme="majorBidi"/>
          <w:bCs/>
          <w:i/>
          <w:iCs/>
        </w:rPr>
        <w:t>Pediastrum</w:t>
      </w:r>
      <w:proofErr w:type="spellEnd"/>
      <w:r w:rsidRPr="006A4361">
        <w:rPr>
          <w:rFonts w:asciiTheme="majorBidi" w:hAnsiTheme="majorBidi" w:cstheme="majorBidi"/>
          <w:bCs/>
        </w:rPr>
        <w:t xml:space="preserve"> and </w:t>
      </w:r>
      <w:proofErr w:type="spellStart"/>
      <w:r w:rsidRPr="006A4361">
        <w:rPr>
          <w:rFonts w:asciiTheme="majorBidi" w:hAnsiTheme="majorBidi" w:cstheme="majorBidi"/>
          <w:bCs/>
          <w:i/>
          <w:iCs/>
        </w:rPr>
        <w:t>Scenedesmus</w:t>
      </w:r>
      <w:proofErr w:type="spellEnd"/>
      <w:r w:rsidRPr="006A4361">
        <w:rPr>
          <w:rFonts w:asciiTheme="majorBidi" w:hAnsiTheme="majorBidi" w:cstheme="majorBidi"/>
          <w:bCs/>
          <w:i/>
          <w:iCs/>
        </w:rPr>
        <w:t xml:space="preserve"> </w:t>
      </w:r>
      <w:r w:rsidRPr="006A4361">
        <w:rPr>
          <w:rFonts w:asciiTheme="majorBidi" w:hAnsiTheme="majorBidi" w:cstheme="majorBidi"/>
          <w:bCs/>
        </w:rPr>
        <w:t xml:space="preserve">that were not observed here from the “F” member. This could be related to different local depositional settings between the </w:t>
      </w:r>
      <w:r w:rsidRPr="006A4361">
        <w:rPr>
          <w:rFonts w:asciiTheme="majorBidi" w:hAnsiTheme="majorBidi" w:cstheme="majorBidi"/>
        </w:rPr>
        <w:t xml:space="preserve">Razzak #7 oil well and </w:t>
      </w:r>
      <w:r w:rsidRPr="006A4361">
        <w:rPr>
          <w:rFonts w:asciiTheme="majorBidi" w:hAnsiTheme="majorBidi" w:cstheme="majorBidi"/>
          <w:bCs/>
        </w:rPr>
        <w:t>Khalda-21 borehole.</w:t>
      </w:r>
    </w:p>
    <w:p w:rsidR="00464B62" w:rsidRPr="008E4AA8" w:rsidRDefault="006A4361" w:rsidP="00E84049">
      <w:pPr>
        <w:widowControl w:val="0"/>
        <w:autoSpaceDE w:val="0"/>
        <w:autoSpaceDN w:val="0"/>
        <w:adjustRightInd w:val="0"/>
        <w:spacing w:line="480" w:lineRule="auto"/>
        <w:ind w:firstLine="720"/>
        <w:rPr>
          <w:rFonts w:asciiTheme="majorBidi" w:hAnsiTheme="majorBidi" w:cstheme="majorBidi"/>
          <w:bCs/>
        </w:rPr>
      </w:pPr>
      <w:r w:rsidRPr="006A4361">
        <w:rPr>
          <w:rFonts w:asciiTheme="majorBidi" w:hAnsiTheme="majorBidi" w:cstheme="majorBidi"/>
          <w:bCs/>
        </w:rPr>
        <w:t xml:space="preserve">The decline in AOM abundance accompanied by phytoclast enrichment in the uppermost “F” and lower “E” members (depth 1545.3–1527 m) evidently points to a change in the depositional environment. The upward decrease in TOC content, although still relatively high, confirms that change and indicates comparatively less reducing conditions. Tyson </w:t>
      </w:r>
      <w:r w:rsidRPr="006A4361">
        <w:rPr>
          <w:rFonts w:asciiTheme="majorBidi" w:hAnsiTheme="majorBidi" w:cstheme="majorBidi"/>
        </w:rPr>
        <w:t>(1995)</w:t>
      </w:r>
      <w:r w:rsidRPr="006A4361">
        <w:rPr>
          <w:rFonts w:asciiTheme="majorBidi" w:hAnsiTheme="majorBidi" w:cstheme="majorBidi"/>
          <w:bCs/>
        </w:rPr>
        <w:t xml:space="preserve"> interpreted increased phytoclast contents in conjunction with moderate TOC values as being indicative of proximity to sources of terrestrial organic matter. We agree with this explanation and suggest shallower marine conditions relative to the lower part of the section. These </w:t>
      </w:r>
      <w:r w:rsidRPr="006A4361">
        <w:rPr>
          <w:rFonts w:asciiTheme="majorBidi" w:hAnsiTheme="majorBidi" w:cstheme="majorBidi"/>
          <w:bCs/>
        </w:rPr>
        <w:lastRenderedPageBreak/>
        <w:t>shallower conditions might have been a result of sea-level drop, which allowed more terrestrial components (phytoclasts) to be transported deeper into the basin. This interpretation is in accordance with the global sea-level model that shows a period of sea-level fall soon after the OAE2 (Fig. 2). Increased terrestrial input is also clearly reflected in the palynomorph composition</w:t>
      </w:r>
      <w:r w:rsidRPr="006A4361">
        <w:rPr>
          <w:rFonts w:asciiTheme="majorBidi" w:hAnsiTheme="majorBidi" w:cstheme="majorBidi"/>
        </w:rPr>
        <w:t>, as noted by</w:t>
      </w:r>
      <w:r w:rsidRPr="006A4361">
        <w:rPr>
          <w:rFonts w:asciiTheme="majorBidi" w:hAnsiTheme="majorBidi" w:cstheme="majorBidi"/>
          <w:bCs/>
        </w:rPr>
        <w:t xml:space="preserve"> the overwhelming abundance of the freshwater </w:t>
      </w:r>
      <w:proofErr w:type="spellStart"/>
      <w:r w:rsidRPr="006A4361">
        <w:rPr>
          <w:rFonts w:asciiTheme="majorBidi" w:hAnsiTheme="majorBidi" w:cstheme="majorBidi"/>
          <w:bCs/>
        </w:rPr>
        <w:t>ch</w:t>
      </w:r>
      <w:r w:rsidR="00EA1210">
        <w:rPr>
          <w:rFonts w:asciiTheme="majorBidi" w:hAnsiTheme="majorBidi" w:cstheme="majorBidi"/>
          <w:bCs/>
        </w:rPr>
        <w:t>l</w:t>
      </w:r>
      <w:r w:rsidR="00E84049">
        <w:rPr>
          <w:rFonts w:asciiTheme="majorBidi" w:hAnsiTheme="majorBidi" w:cstheme="majorBidi"/>
          <w:bCs/>
        </w:rPr>
        <w:t>o</w:t>
      </w:r>
      <w:r w:rsidRPr="006A4361">
        <w:rPr>
          <w:rFonts w:asciiTheme="majorBidi" w:hAnsiTheme="majorBidi" w:cstheme="majorBidi"/>
          <w:bCs/>
        </w:rPr>
        <w:t>rococcalean</w:t>
      </w:r>
      <w:proofErr w:type="spellEnd"/>
      <w:r w:rsidRPr="006A4361">
        <w:rPr>
          <w:rFonts w:asciiTheme="majorBidi" w:hAnsiTheme="majorBidi" w:cstheme="majorBidi"/>
          <w:bCs/>
        </w:rPr>
        <w:t xml:space="preserve"> green algae (</w:t>
      </w:r>
      <w:proofErr w:type="spellStart"/>
      <w:r w:rsidRPr="006A4361">
        <w:rPr>
          <w:rFonts w:asciiTheme="majorBidi" w:hAnsiTheme="majorBidi" w:cstheme="majorBidi"/>
          <w:i/>
        </w:rPr>
        <w:t>Pediastrum</w:t>
      </w:r>
      <w:proofErr w:type="spellEnd"/>
      <w:r w:rsidRPr="006A4361">
        <w:rPr>
          <w:rFonts w:asciiTheme="majorBidi" w:hAnsiTheme="majorBidi" w:cstheme="majorBidi"/>
        </w:rPr>
        <w:t xml:space="preserve"> and </w:t>
      </w:r>
      <w:proofErr w:type="spellStart"/>
      <w:r w:rsidRPr="006A4361">
        <w:rPr>
          <w:rFonts w:asciiTheme="majorBidi" w:hAnsiTheme="majorBidi" w:cstheme="majorBidi"/>
          <w:i/>
          <w:iCs/>
        </w:rPr>
        <w:t>Tetrastrum</w:t>
      </w:r>
      <w:proofErr w:type="spellEnd"/>
      <w:r w:rsidRPr="006A4361">
        <w:rPr>
          <w:rFonts w:asciiTheme="majorBidi" w:hAnsiTheme="majorBidi" w:cstheme="majorBidi"/>
          <w:bCs/>
        </w:rPr>
        <w:t xml:space="preserve">) in the uppermost part of the studied section (“E” member, depth 1533.1–1527 m). Shallow marine freshwater influenced conditions for the “E” member were earlier indicated by </w:t>
      </w:r>
      <w:proofErr w:type="spellStart"/>
      <w:r w:rsidRPr="006A4361">
        <w:rPr>
          <w:rFonts w:asciiTheme="majorBidi" w:hAnsiTheme="majorBidi" w:cstheme="majorBidi"/>
          <w:bCs/>
        </w:rPr>
        <w:t>Khaled</w:t>
      </w:r>
      <w:proofErr w:type="spellEnd"/>
      <w:r w:rsidRPr="006A4361">
        <w:rPr>
          <w:rFonts w:asciiTheme="majorBidi" w:hAnsiTheme="majorBidi" w:cstheme="majorBidi"/>
          <w:bCs/>
        </w:rPr>
        <w:t xml:space="preserve"> </w:t>
      </w:r>
      <w:r w:rsidRPr="006A4361">
        <w:rPr>
          <w:rFonts w:asciiTheme="majorBidi" w:hAnsiTheme="majorBidi" w:cstheme="majorBidi"/>
        </w:rPr>
        <w:t>(1999)</w:t>
      </w:r>
      <w:r w:rsidRPr="006A4361">
        <w:rPr>
          <w:rFonts w:asciiTheme="majorBidi" w:hAnsiTheme="majorBidi" w:cstheme="majorBidi"/>
          <w:bCs/>
        </w:rPr>
        <w:t xml:space="preserve"> and Ibrahim and Al-</w:t>
      </w:r>
      <w:proofErr w:type="spellStart"/>
      <w:r w:rsidRPr="006A4361">
        <w:rPr>
          <w:rFonts w:asciiTheme="majorBidi" w:hAnsiTheme="majorBidi" w:cstheme="majorBidi"/>
          <w:bCs/>
        </w:rPr>
        <w:t>Saad</w:t>
      </w:r>
      <w:proofErr w:type="spellEnd"/>
      <w:r w:rsidRPr="006A4361">
        <w:rPr>
          <w:rFonts w:asciiTheme="majorBidi" w:hAnsiTheme="majorBidi" w:cstheme="majorBidi"/>
          <w:bCs/>
        </w:rPr>
        <w:t xml:space="preserve"> </w:t>
      </w:r>
      <w:r w:rsidRPr="006A4361">
        <w:rPr>
          <w:rFonts w:asciiTheme="majorBidi" w:hAnsiTheme="majorBidi" w:cstheme="majorBidi"/>
        </w:rPr>
        <w:t>(2000)</w:t>
      </w:r>
      <w:r w:rsidRPr="006A4361">
        <w:rPr>
          <w:rFonts w:asciiTheme="majorBidi" w:hAnsiTheme="majorBidi" w:cstheme="majorBidi"/>
          <w:bCs/>
        </w:rPr>
        <w:t>.</w:t>
      </w:r>
    </w:p>
    <w:p w:rsidR="00DD52ED" w:rsidRPr="008E4AA8" w:rsidRDefault="00DD52ED" w:rsidP="00437EEF">
      <w:pPr>
        <w:spacing w:line="480" w:lineRule="auto"/>
        <w:rPr>
          <w:rFonts w:asciiTheme="majorBidi" w:hAnsiTheme="majorBidi" w:cstheme="majorBidi"/>
        </w:rPr>
      </w:pPr>
    </w:p>
    <w:p w:rsidR="00DD52ED" w:rsidRPr="008E4AA8" w:rsidRDefault="006A4361" w:rsidP="00437EEF">
      <w:pPr>
        <w:spacing w:line="480" w:lineRule="auto"/>
        <w:rPr>
          <w:rFonts w:asciiTheme="majorBidi" w:hAnsiTheme="majorBidi" w:cstheme="majorBidi"/>
          <w:b/>
        </w:rPr>
      </w:pPr>
      <w:r w:rsidRPr="006A4361">
        <w:rPr>
          <w:rFonts w:asciiTheme="majorBidi" w:hAnsiTheme="majorBidi" w:cstheme="majorBidi"/>
          <w:b/>
        </w:rPr>
        <w:t>5. Conclusions</w:t>
      </w:r>
    </w:p>
    <w:p w:rsidR="00D8652B" w:rsidRPr="008E4AA8" w:rsidRDefault="006A4361" w:rsidP="00600710">
      <w:pPr>
        <w:spacing w:line="480" w:lineRule="auto"/>
        <w:ind w:firstLine="720"/>
        <w:rPr>
          <w:rFonts w:asciiTheme="majorBidi" w:hAnsiTheme="majorBidi" w:cstheme="majorBidi"/>
        </w:rPr>
      </w:pPr>
      <w:r w:rsidRPr="006A4361">
        <w:rPr>
          <w:rFonts w:asciiTheme="majorBidi" w:hAnsiTheme="majorBidi" w:cstheme="majorBidi"/>
        </w:rPr>
        <w:t>Palynofacies and organic geochemical analyses of 23 samples from the upper “G”, “F”, and lower “E” members of the Abu Roash Formation have yielded the following information:</w:t>
      </w:r>
    </w:p>
    <w:p w:rsidR="00AF0508" w:rsidRPr="008E4AA8" w:rsidRDefault="006A4361" w:rsidP="00FB419D">
      <w:pPr>
        <w:spacing w:line="480" w:lineRule="auto"/>
        <w:rPr>
          <w:rFonts w:asciiTheme="majorBidi" w:hAnsiTheme="majorBidi" w:cstheme="majorBidi"/>
          <w:lang w:eastAsia="ar-EG" w:bidi="ar-EG"/>
        </w:rPr>
      </w:pPr>
      <w:r w:rsidRPr="006A4361">
        <w:rPr>
          <w:rFonts w:asciiTheme="majorBidi" w:hAnsiTheme="majorBidi" w:cstheme="majorBidi"/>
        </w:rPr>
        <w:t xml:space="preserve">1. The sediments are palynomorph-poor, especially in the upper “G” and “F” members with an </w:t>
      </w:r>
      <w:r w:rsidRPr="006A4361">
        <w:rPr>
          <w:rFonts w:asciiTheme="majorBidi" w:hAnsiTheme="majorBidi" w:cstheme="majorBidi"/>
          <w:lang w:eastAsia="ar-EG" w:bidi="ar-EG"/>
        </w:rPr>
        <w:t xml:space="preserve">assemblage of spores, gymnosperm and angiosperm pollen, freshwater algae, dinoflagellate cysts, and one </w:t>
      </w:r>
      <w:proofErr w:type="spellStart"/>
      <w:r w:rsidRPr="006A4361">
        <w:rPr>
          <w:rFonts w:asciiTheme="majorBidi" w:hAnsiTheme="majorBidi" w:cstheme="majorBidi"/>
          <w:lang w:eastAsia="ar-EG" w:bidi="ar-EG"/>
        </w:rPr>
        <w:t>scolecodont</w:t>
      </w:r>
      <w:proofErr w:type="spellEnd"/>
      <w:r w:rsidRPr="006A4361">
        <w:rPr>
          <w:rFonts w:asciiTheme="majorBidi" w:hAnsiTheme="majorBidi" w:cstheme="majorBidi"/>
          <w:lang w:eastAsia="ar-EG" w:bidi="ar-EG"/>
        </w:rPr>
        <w:t xml:space="preserve"> specimen.</w:t>
      </w:r>
    </w:p>
    <w:p w:rsidR="00AF0508" w:rsidRPr="008E4AA8" w:rsidRDefault="006A4361" w:rsidP="00FB419D">
      <w:pPr>
        <w:spacing w:line="480" w:lineRule="auto"/>
        <w:rPr>
          <w:rFonts w:asciiTheme="majorBidi" w:hAnsiTheme="majorBidi" w:cstheme="majorBidi"/>
          <w:lang w:eastAsia="ar-EG" w:bidi="ar-EG"/>
        </w:rPr>
      </w:pPr>
      <w:r w:rsidRPr="006A4361">
        <w:rPr>
          <w:rFonts w:asciiTheme="majorBidi" w:hAnsiTheme="majorBidi" w:cstheme="majorBidi"/>
          <w:lang w:eastAsia="ar-EG" w:bidi="ar-EG"/>
        </w:rPr>
        <w:t>2. AOM- and TOC-rich, oil prone type I kerogen occurs in the upper “G” and much of the “F” members, in contrast with phytoclast- and AOM-dominated, oil to gas prone type II/III kerogen in the uppermost “F” and lower “E” members.</w:t>
      </w:r>
    </w:p>
    <w:p w:rsidR="00AF0508" w:rsidRPr="008E4AA8" w:rsidRDefault="006A4361" w:rsidP="00FB419D">
      <w:pPr>
        <w:spacing w:line="480" w:lineRule="auto"/>
        <w:rPr>
          <w:rFonts w:asciiTheme="majorBidi" w:hAnsiTheme="majorBidi" w:cstheme="majorBidi"/>
          <w:lang w:eastAsia="ar-EG" w:bidi="ar-EG"/>
        </w:rPr>
      </w:pPr>
      <w:r w:rsidRPr="006A4361">
        <w:rPr>
          <w:rFonts w:asciiTheme="majorBidi" w:hAnsiTheme="majorBidi" w:cstheme="majorBidi"/>
          <w:lang w:eastAsia="ar-EG" w:bidi="ar-EG"/>
        </w:rPr>
        <w:t xml:space="preserve">3. A </w:t>
      </w:r>
      <w:r w:rsidRPr="006A4361">
        <w:rPr>
          <w:rFonts w:asciiTheme="majorBidi" w:hAnsiTheme="majorBidi" w:cstheme="majorBidi"/>
        </w:rPr>
        <w:t xml:space="preserve">positive excursion </w:t>
      </w:r>
      <w:r w:rsidRPr="006A4361">
        <w:rPr>
          <w:rFonts w:asciiTheme="majorBidi" w:hAnsiTheme="majorBidi" w:cstheme="majorBidi"/>
          <w:bCs/>
        </w:rPr>
        <w:t xml:space="preserve">(~2.01 ‰) </w:t>
      </w:r>
      <w:r w:rsidRPr="006A4361">
        <w:rPr>
          <w:rFonts w:asciiTheme="majorBidi" w:hAnsiTheme="majorBidi" w:cstheme="majorBidi"/>
        </w:rPr>
        <w:t xml:space="preserve">is present in the </w:t>
      </w:r>
      <w:r w:rsidRPr="006A4361">
        <w:rPr>
          <w:rFonts w:asciiTheme="majorBidi" w:hAnsiTheme="majorBidi" w:cstheme="majorBidi"/>
          <w:lang w:eastAsia="ar-EG" w:bidi="ar-EG"/>
        </w:rPr>
        <w:t>δ</w:t>
      </w:r>
      <w:r w:rsidRPr="006A4361">
        <w:rPr>
          <w:rFonts w:asciiTheme="majorBidi" w:hAnsiTheme="majorBidi" w:cstheme="majorBidi"/>
          <w:vertAlign w:val="superscript"/>
          <w:lang w:eastAsia="ar-EG" w:bidi="ar-EG"/>
        </w:rPr>
        <w:t>13</w:t>
      </w:r>
      <w:r w:rsidRPr="006A4361">
        <w:rPr>
          <w:rFonts w:asciiTheme="majorBidi" w:hAnsiTheme="majorBidi" w:cstheme="majorBidi"/>
          <w:lang w:eastAsia="ar-EG" w:bidi="ar-EG"/>
        </w:rPr>
        <w:t>C</w:t>
      </w:r>
      <w:r w:rsidRPr="006A4361">
        <w:rPr>
          <w:rFonts w:asciiTheme="majorBidi" w:hAnsiTheme="majorBidi" w:cstheme="majorBidi"/>
          <w:vertAlign w:val="subscript"/>
          <w:lang w:eastAsia="ar-EG" w:bidi="ar-EG"/>
        </w:rPr>
        <w:t>org</w:t>
      </w:r>
      <w:r w:rsidRPr="006A4361">
        <w:rPr>
          <w:rFonts w:asciiTheme="majorBidi" w:hAnsiTheme="majorBidi" w:cstheme="majorBidi"/>
          <w:lang w:eastAsia="ar-EG" w:bidi="ar-EG"/>
        </w:rPr>
        <w:t xml:space="preserve"> profile within the organic-rich black </w:t>
      </w:r>
      <w:proofErr w:type="spellStart"/>
      <w:r w:rsidRPr="006A4361">
        <w:rPr>
          <w:rFonts w:asciiTheme="majorBidi" w:hAnsiTheme="majorBidi" w:cstheme="majorBidi"/>
          <w:lang w:eastAsia="ar-EG" w:bidi="ar-EG"/>
        </w:rPr>
        <w:t>shaly</w:t>
      </w:r>
      <w:proofErr w:type="spellEnd"/>
      <w:r w:rsidRPr="006A4361">
        <w:rPr>
          <w:rFonts w:asciiTheme="majorBidi" w:hAnsiTheme="majorBidi" w:cstheme="majorBidi"/>
          <w:lang w:eastAsia="ar-EG" w:bidi="ar-EG"/>
        </w:rPr>
        <w:t xml:space="preserve"> limestone of the basal “F” member and coincides with the highest recorded TOC value (</w:t>
      </w:r>
      <w:r w:rsidRPr="006A4361">
        <w:rPr>
          <w:rFonts w:asciiTheme="majorBidi" w:eastAsia="Cambria" w:hAnsiTheme="majorBidi" w:cstheme="majorBidi"/>
        </w:rPr>
        <w:t>24.61 wt. %)</w:t>
      </w:r>
      <w:r w:rsidRPr="006A4361">
        <w:rPr>
          <w:rFonts w:asciiTheme="majorBidi" w:hAnsiTheme="majorBidi" w:cstheme="majorBidi"/>
          <w:lang w:eastAsia="ar-EG" w:bidi="ar-EG"/>
        </w:rPr>
        <w:t>. It marks the short-term global OAE2, which is identified for the first time in the Razzak Field.</w:t>
      </w:r>
    </w:p>
    <w:p w:rsidR="00AF0508" w:rsidRPr="008E4AA8" w:rsidRDefault="006A4361" w:rsidP="00FB419D">
      <w:pPr>
        <w:spacing w:line="480" w:lineRule="auto"/>
        <w:rPr>
          <w:rFonts w:asciiTheme="majorBidi" w:hAnsiTheme="majorBidi" w:cstheme="majorBidi"/>
        </w:rPr>
      </w:pPr>
      <w:r w:rsidRPr="006A4361">
        <w:rPr>
          <w:rFonts w:asciiTheme="majorBidi" w:hAnsiTheme="majorBidi" w:cstheme="majorBidi"/>
          <w:lang w:eastAsia="ar-EG" w:bidi="ar-EG"/>
        </w:rPr>
        <w:lastRenderedPageBreak/>
        <w:t>4. The upper “G” and most of the “F” members were deposited under deep marine anoxic conditions, whereas the uppermost “F” and lower “E” member were deposited in relatively shallower, less reducing conditions.</w:t>
      </w:r>
    </w:p>
    <w:p w:rsidR="00DD52ED" w:rsidRPr="008E4AA8" w:rsidRDefault="00DD52ED" w:rsidP="003E61CF">
      <w:pPr>
        <w:spacing w:line="480" w:lineRule="auto"/>
        <w:rPr>
          <w:rFonts w:asciiTheme="majorBidi" w:hAnsiTheme="majorBidi" w:cstheme="majorBidi"/>
        </w:rPr>
      </w:pPr>
    </w:p>
    <w:p w:rsidR="00DD52ED" w:rsidRPr="008E4AA8" w:rsidRDefault="006A4361" w:rsidP="00437EEF">
      <w:pPr>
        <w:spacing w:line="480" w:lineRule="auto"/>
        <w:rPr>
          <w:rFonts w:asciiTheme="majorBidi" w:hAnsiTheme="majorBidi" w:cstheme="majorBidi"/>
          <w:b/>
        </w:rPr>
      </w:pPr>
      <w:r w:rsidRPr="006A4361">
        <w:rPr>
          <w:rFonts w:asciiTheme="majorBidi" w:hAnsiTheme="majorBidi" w:cstheme="majorBidi"/>
          <w:b/>
        </w:rPr>
        <w:t>Acknowledgments</w:t>
      </w:r>
    </w:p>
    <w:p w:rsidR="005A248F" w:rsidRPr="008E4AA8" w:rsidRDefault="006A4361">
      <w:pPr>
        <w:widowControl w:val="0"/>
        <w:autoSpaceDE w:val="0"/>
        <w:autoSpaceDN w:val="0"/>
        <w:adjustRightInd w:val="0"/>
        <w:spacing w:line="480" w:lineRule="auto"/>
        <w:ind w:firstLine="720"/>
        <w:rPr>
          <w:rFonts w:asciiTheme="majorBidi" w:hAnsiTheme="majorBidi" w:cstheme="majorBidi"/>
        </w:rPr>
      </w:pPr>
      <w:r w:rsidRPr="006A4361">
        <w:rPr>
          <w:rFonts w:asciiTheme="majorBidi" w:hAnsiTheme="majorBidi" w:cstheme="majorBidi"/>
        </w:rPr>
        <w:t xml:space="preserve">The authors would like to thank the Egyptian General Petroleum Corporation (EGPC) for providing the samples and well log the for Razzak #7 oil well. </w:t>
      </w:r>
      <w:r w:rsidR="002D4EC6">
        <w:rPr>
          <w:rFonts w:asciiTheme="majorBidi" w:hAnsiTheme="majorBidi" w:cstheme="majorBidi"/>
        </w:rPr>
        <w:t>Reviews by</w:t>
      </w:r>
      <w:r w:rsidRPr="006A4361">
        <w:rPr>
          <w:rFonts w:asciiTheme="majorBidi" w:hAnsiTheme="majorBidi" w:cstheme="majorBidi"/>
        </w:rPr>
        <w:t xml:space="preserve"> Nicholas Harris, Associate Editor, and an anonymous reviewer have greatly improved this manuscript. This study was funded by a National Science Foundation grant (OISE-0707183) to Francisca Oboh-Ikuenobe and US-Egypt grant (</w:t>
      </w:r>
      <w:r w:rsidRPr="006A4361">
        <w:rPr>
          <w:rFonts w:asciiTheme="majorBidi" w:eastAsia="Cambria" w:hAnsiTheme="majorBidi" w:cstheme="majorBidi"/>
        </w:rPr>
        <w:t>OTH11-008-001</w:t>
      </w:r>
      <w:r w:rsidRPr="006A4361">
        <w:rPr>
          <w:rFonts w:asciiTheme="majorBidi" w:hAnsiTheme="majorBidi" w:cstheme="majorBidi"/>
        </w:rPr>
        <w:t>) to Mohamed Ibrahim.</w:t>
      </w:r>
    </w:p>
    <w:p w:rsidR="00DD52ED" w:rsidRPr="008E4AA8" w:rsidRDefault="00DD52ED" w:rsidP="007852BD">
      <w:pPr>
        <w:spacing w:line="480" w:lineRule="auto"/>
        <w:rPr>
          <w:rFonts w:asciiTheme="majorBidi" w:hAnsiTheme="majorBidi" w:cstheme="majorBidi"/>
        </w:rPr>
      </w:pPr>
    </w:p>
    <w:p w:rsidR="007C18BA" w:rsidRPr="008E4AA8" w:rsidRDefault="006A4361" w:rsidP="007852BD">
      <w:pPr>
        <w:spacing w:line="480" w:lineRule="auto"/>
        <w:rPr>
          <w:rFonts w:asciiTheme="majorBidi" w:hAnsiTheme="majorBidi" w:cstheme="majorBidi"/>
          <w:b/>
        </w:rPr>
      </w:pPr>
      <w:r w:rsidRPr="006A4361">
        <w:rPr>
          <w:rFonts w:asciiTheme="majorBidi" w:hAnsiTheme="majorBidi" w:cstheme="majorBidi"/>
          <w:b/>
        </w:rPr>
        <w:t>References</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Abdel-</w:t>
      </w:r>
      <w:proofErr w:type="spellStart"/>
      <w:r w:rsidRPr="006A4361">
        <w:rPr>
          <w:rFonts w:asciiTheme="majorBidi" w:hAnsiTheme="majorBidi" w:cstheme="majorBidi"/>
        </w:rPr>
        <w:t>Kireem</w:t>
      </w:r>
      <w:proofErr w:type="spellEnd"/>
      <w:r w:rsidRPr="006A4361">
        <w:rPr>
          <w:rFonts w:asciiTheme="majorBidi" w:hAnsiTheme="majorBidi" w:cstheme="majorBidi"/>
        </w:rPr>
        <w:t xml:space="preserve">, M.R., </w:t>
      </w:r>
      <w:proofErr w:type="spellStart"/>
      <w:r w:rsidRPr="006A4361">
        <w:rPr>
          <w:rFonts w:asciiTheme="majorBidi" w:hAnsiTheme="majorBidi" w:cstheme="majorBidi"/>
        </w:rPr>
        <w:t>Samir</w:t>
      </w:r>
      <w:proofErr w:type="spellEnd"/>
      <w:r w:rsidRPr="006A4361">
        <w:rPr>
          <w:rFonts w:asciiTheme="majorBidi" w:hAnsiTheme="majorBidi" w:cstheme="majorBidi"/>
        </w:rPr>
        <w:t xml:space="preserve">, A.M., Ibrahim, M.I.A., 1995. </w:t>
      </w:r>
      <w:proofErr w:type="gramStart"/>
      <w:r w:rsidRPr="006A4361">
        <w:rPr>
          <w:rFonts w:asciiTheme="majorBidi" w:hAnsiTheme="majorBidi" w:cstheme="majorBidi"/>
        </w:rPr>
        <w:t xml:space="preserve">Upper Cretaceous </w:t>
      </w:r>
      <w:proofErr w:type="spellStart"/>
      <w:r w:rsidRPr="006A4361">
        <w:rPr>
          <w:rFonts w:asciiTheme="majorBidi" w:hAnsiTheme="majorBidi" w:cstheme="majorBidi"/>
        </w:rPr>
        <w:t>planktonic</w:t>
      </w:r>
      <w:proofErr w:type="spellEnd"/>
      <w:r w:rsidRPr="006A4361">
        <w:rPr>
          <w:rFonts w:asciiTheme="majorBidi" w:hAnsiTheme="majorBidi" w:cstheme="majorBidi"/>
        </w:rPr>
        <w:t xml:space="preserve"> foraminiferal </w:t>
      </w:r>
      <w:proofErr w:type="spellStart"/>
      <w:r w:rsidRPr="006A4361">
        <w:rPr>
          <w:rFonts w:asciiTheme="majorBidi" w:hAnsiTheme="majorBidi" w:cstheme="majorBidi"/>
        </w:rPr>
        <w:t>zonation</w:t>
      </w:r>
      <w:proofErr w:type="spellEnd"/>
      <w:r w:rsidRPr="006A4361">
        <w:rPr>
          <w:rFonts w:asciiTheme="majorBidi" w:hAnsiTheme="majorBidi" w:cstheme="majorBidi"/>
        </w:rPr>
        <w:t xml:space="preserve"> and correlation in the northern part of the Western Desert, Egypt.</w:t>
      </w:r>
      <w:proofErr w:type="gramEnd"/>
      <w:r w:rsidRPr="006A4361">
        <w:rPr>
          <w:rFonts w:asciiTheme="majorBidi" w:hAnsiTheme="majorBidi" w:cstheme="majorBidi"/>
        </w:rPr>
        <w:t xml:space="preserve"> </w:t>
      </w:r>
      <w:proofErr w:type="spellStart"/>
      <w:r w:rsidRPr="006A4361">
        <w:rPr>
          <w:rFonts w:asciiTheme="majorBidi" w:hAnsiTheme="majorBidi" w:cstheme="majorBidi"/>
        </w:rPr>
        <w:t>Neues</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Jahrbuch</w:t>
      </w:r>
      <w:proofErr w:type="spellEnd"/>
      <w:r w:rsidRPr="006A4361">
        <w:rPr>
          <w:rFonts w:asciiTheme="majorBidi" w:hAnsiTheme="majorBidi" w:cstheme="majorBidi"/>
        </w:rPr>
        <w:t xml:space="preserve"> fur </w:t>
      </w:r>
      <w:proofErr w:type="spellStart"/>
      <w:r w:rsidRPr="006A4361">
        <w:rPr>
          <w:rFonts w:asciiTheme="majorBidi" w:hAnsiTheme="majorBidi" w:cstheme="majorBidi"/>
        </w:rPr>
        <w:t>Geologie</w:t>
      </w:r>
      <w:proofErr w:type="spellEnd"/>
      <w:r w:rsidRPr="006A4361">
        <w:rPr>
          <w:rFonts w:asciiTheme="majorBidi" w:hAnsiTheme="majorBidi" w:cstheme="majorBidi"/>
        </w:rPr>
        <w:t xml:space="preserve"> und </w:t>
      </w:r>
      <w:proofErr w:type="spellStart"/>
      <w:r w:rsidRPr="006A4361">
        <w:rPr>
          <w:rFonts w:asciiTheme="majorBidi" w:hAnsiTheme="majorBidi" w:cstheme="majorBidi"/>
        </w:rPr>
        <w:t>Palaontologie</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Abhandlungen</w:t>
      </w:r>
      <w:proofErr w:type="spellEnd"/>
      <w:r w:rsidRPr="006A4361">
        <w:rPr>
          <w:rFonts w:asciiTheme="majorBidi" w:hAnsiTheme="majorBidi" w:cstheme="majorBidi"/>
        </w:rPr>
        <w:t xml:space="preserve"> 198, 329–361.</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gramStart"/>
      <w:r w:rsidRPr="006A4361">
        <w:rPr>
          <w:rFonts w:asciiTheme="majorBidi" w:hAnsiTheme="majorBidi" w:cstheme="majorBidi"/>
        </w:rPr>
        <w:t>Abdel-</w:t>
      </w:r>
      <w:proofErr w:type="spellStart"/>
      <w:r w:rsidRPr="006A4361">
        <w:rPr>
          <w:rFonts w:asciiTheme="majorBidi" w:hAnsiTheme="majorBidi" w:cstheme="majorBidi"/>
        </w:rPr>
        <w:t>Kireem</w:t>
      </w:r>
      <w:proofErr w:type="spellEnd"/>
      <w:r w:rsidRPr="006A4361">
        <w:rPr>
          <w:rFonts w:asciiTheme="majorBidi" w:hAnsiTheme="majorBidi" w:cstheme="majorBidi"/>
        </w:rPr>
        <w:t xml:space="preserve">, M., </w:t>
      </w:r>
      <w:proofErr w:type="spellStart"/>
      <w:r w:rsidRPr="006A4361">
        <w:rPr>
          <w:rFonts w:asciiTheme="majorBidi" w:hAnsiTheme="majorBidi" w:cstheme="majorBidi"/>
        </w:rPr>
        <w:t>Schrank</w:t>
      </w:r>
      <w:proofErr w:type="spellEnd"/>
      <w:r w:rsidRPr="006A4361">
        <w:rPr>
          <w:rFonts w:asciiTheme="majorBidi" w:hAnsiTheme="majorBidi" w:cstheme="majorBidi"/>
        </w:rPr>
        <w:t>, E., Samir, A., Ibrahim, M., 1996.</w:t>
      </w:r>
      <w:proofErr w:type="gramEnd"/>
      <w:r w:rsidRPr="006A4361">
        <w:rPr>
          <w:rFonts w:asciiTheme="majorBidi" w:hAnsiTheme="majorBidi" w:cstheme="majorBidi"/>
        </w:rPr>
        <w:t xml:space="preserve"> </w:t>
      </w:r>
      <w:proofErr w:type="gramStart"/>
      <w:r w:rsidRPr="006A4361">
        <w:rPr>
          <w:rFonts w:asciiTheme="majorBidi" w:hAnsiTheme="majorBidi" w:cstheme="majorBidi"/>
        </w:rPr>
        <w:t xml:space="preserve">Cretaceous </w:t>
      </w:r>
      <w:proofErr w:type="spellStart"/>
      <w:r w:rsidRPr="006A4361">
        <w:rPr>
          <w:rFonts w:asciiTheme="majorBidi" w:hAnsiTheme="majorBidi" w:cstheme="majorBidi"/>
        </w:rPr>
        <w:t>palaeoecology</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palaeogeography</w:t>
      </w:r>
      <w:proofErr w:type="spellEnd"/>
      <w:r w:rsidRPr="006A4361">
        <w:rPr>
          <w:rFonts w:asciiTheme="majorBidi" w:hAnsiTheme="majorBidi" w:cstheme="majorBidi"/>
        </w:rPr>
        <w:t xml:space="preserve"> and </w:t>
      </w:r>
      <w:proofErr w:type="spellStart"/>
      <w:r w:rsidRPr="006A4361">
        <w:rPr>
          <w:rFonts w:asciiTheme="majorBidi" w:hAnsiTheme="majorBidi" w:cstheme="majorBidi"/>
        </w:rPr>
        <w:t>palaeoclimatology</w:t>
      </w:r>
      <w:proofErr w:type="spellEnd"/>
      <w:r w:rsidRPr="006A4361">
        <w:rPr>
          <w:rFonts w:asciiTheme="majorBidi" w:hAnsiTheme="majorBidi" w:cstheme="majorBidi"/>
        </w:rPr>
        <w:t xml:space="preserve"> of the northern Western Desert, Egypt.</w:t>
      </w:r>
      <w:proofErr w:type="gramEnd"/>
      <w:r w:rsidRPr="006A4361">
        <w:rPr>
          <w:rFonts w:asciiTheme="majorBidi" w:hAnsiTheme="majorBidi" w:cstheme="majorBidi"/>
        </w:rPr>
        <w:t xml:space="preserve"> Journal of African Earth Sciences 22, 93–112.</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Alsharhan</w:t>
      </w:r>
      <w:proofErr w:type="spellEnd"/>
      <w:r w:rsidRPr="006A4361">
        <w:rPr>
          <w:rFonts w:asciiTheme="majorBidi" w:hAnsiTheme="majorBidi" w:cstheme="majorBidi"/>
        </w:rPr>
        <w:t xml:space="preserve">, A.S., </w:t>
      </w:r>
      <w:proofErr w:type="spellStart"/>
      <w:r w:rsidRPr="006A4361">
        <w:rPr>
          <w:rFonts w:asciiTheme="majorBidi" w:hAnsiTheme="majorBidi" w:cstheme="majorBidi"/>
        </w:rPr>
        <w:t>Abd</w:t>
      </w:r>
      <w:proofErr w:type="spellEnd"/>
      <w:r w:rsidRPr="006A4361">
        <w:rPr>
          <w:rFonts w:asciiTheme="majorBidi" w:hAnsiTheme="majorBidi" w:cstheme="majorBidi"/>
        </w:rPr>
        <w:t xml:space="preserve"> El-</w:t>
      </w:r>
      <w:proofErr w:type="spellStart"/>
      <w:r w:rsidRPr="006A4361">
        <w:rPr>
          <w:rFonts w:asciiTheme="majorBidi" w:hAnsiTheme="majorBidi" w:cstheme="majorBidi"/>
        </w:rPr>
        <w:t>Gawad</w:t>
      </w:r>
      <w:proofErr w:type="spellEnd"/>
      <w:r w:rsidRPr="006A4361">
        <w:rPr>
          <w:rFonts w:asciiTheme="majorBidi" w:hAnsiTheme="majorBidi" w:cstheme="majorBidi"/>
        </w:rPr>
        <w:t xml:space="preserve">, E.A., 2008. Geochemical characterization of potential Jurassic/Cretaceous source rocks in the </w:t>
      </w:r>
      <w:proofErr w:type="spellStart"/>
      <w:r w:rsidRPr="006A4361">
        <w:rPr>
          <w:rFonts w:asciiTheme="majorBidi" w:hAnsiTheme="majorBidi" w:cstheme="majorBidi"/>
        </w:rPr>
        <w:t>Shushan</w:t>
      </w:r>
      <w:proofErr w:type="spellEnd"/>
      <w:r w:rsidRPr="006A4361">
        <w:rPr>
          <w:rFonts w:asciiTheme="majorBidi" w:hAnsiTheme="majorBidi" w:cstheme="majorBidi"/>
        </w:rPr>
        <w:t xml:space="preserve"> Basin, northern Western Desert, Egypt. Journal of Petroleum Geology 31, 191–212.</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Arthur, M.A., Dean, W.E., Pratt, L.M., 1988. Geochemical and climatic effects of increased marine organic carbon burial at the Cenomanian/Turonian boundary. Nature 335, 714–</w:t>
      </w:r>
      <w:r w:rsidRPr="006A4361">
        <w:rPr>
          <w:rFonts w:asciiTheme="majorBidi" w:hAnsiTheme="majorBidi" w:cstheme="majorBidi"/>
        </w:rPr>
        <w:lastRenderedPageBreak/>
        <w:t>717.</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proofErr w:type="gramStart"/>
      <w:r w:rsidRPr="006A4361">
        <w:rPr>
          <w:rFonts w:asciiTheme="majorBidi" w:hAnsiTheme="majorBidi" w:cstheme="majorBidi"/>
        </w:rPr>
        <w:t>Barakat</w:t>
      </w:r>
      <w:proofErr w:type="spellEnd"/>
      <w:r w:rsidRPr="006A4361">
        <w:rPr>
          <w:rFonts w:asciiTheme="majorBidi" w:hAnsiTheme="majorBidi" w:cstheme="majorBidi"/>
        </w:rPr>
        <w:t xml:space="preserve">, M.G., </w:t>
      </w:r>
      <w:proofErr w:type="spellStart"/>
      <w:r w:rsidRPr="006A4361">
        <w:rPr>
          <w:rFonts w:asciiTheme="majorBidi" w:hAnsiTheme="majorBidi" w:cstheme="majorBidi"/>
        </w:rPr>
        <w:t>Darwish</w:t>
      </w:r>
      <w:proofErr w:type="spellEnd"/>
      <w:r w:rsidRPr="006A4361">
        <w:rPr>
          <w:rFonts w:asciiTheme="majorBidi" w:hAnsiTheme="majorBidi" w:cstheme="majorBidi"/>
        </w:rPr>
        <w:t>, M., Abdel Hamid, M.L., 1987.</w:t>
      </w:r>
      <w:proofErr w:type="gramEnd"/>
      <w:r w:rsidRPr="006A4361">
        <w:rPr>
          <w:rFonts w:asciiTheme="majorBidi" w:hAnsiTheme="majorBidi" w:cstheme="majorBidi"/>
        </w:rPr>
        <w:t xml:space="preserve"> </w:t>
      </w:r>
      <w:proofErr w:type="gramStart"/>
      <w:r w:rsidRPr="006A4361">
        <w:rPr>
          <w:rFonts w:asciiTheme="majorBidi" w:hAnsiTheme="majorBidi" w:cstheme="majorBidi"/>
        </w:rPr>
        <w:t xml:space="preserve">Hydrocarbon source rock evaluation of the Upper Cretaceous (Abu Roash Formation), east Abu </w:t>
      </w:r>
      <w:proofErr w:type="spellStart"/>
      <w:r w:rsidRPr="006A4361">
        <w:rPr>
          <w:rFonts w:asciiTheme="majorBidi" w:hAnsiTheme="majorBidi" w:cstheme="majorBidi"/>
        </w:rPr>
        <w:t>Garadig</w:t>
      </w:r>
      <w:proofErr w:type="spellEnd"/>
      <w:r w:rsidRPr="006A4361">
        <w:rPr>
          <w:rFonts w:asciiTheme="majorBidi" w:hAnsiTheme="majorBidi" w:cstheme="majorBidi"/>
        </w:rPr>
        <w:t xml:space="preserve"> area, north Western Desert, Egypt.</w:t>
      </w:r>
      <w:proofErr w:type="gramEnd"/>
      <w:r w:rsidRPr="006A4361">
        <w:rPr>
          <w:rFonts w:asciiTheme="majorBidi" w:hAnsiTheme="majorBidi" w:cstheme="majorBidi"/>
        </w:rPr>
        <w:t xml:space="preserve"> Middle East Research Center Earth Sciences Series, </w:t>
      </w:r>
      <w:proofErr w:type="spellStart"/>
      <w:r w:rsidRPr="006A4361">
        <w:rPr>
          <w:rFonts w:asciiTheme="majorBidi" w:hAnsiTheme="majorBidi" w:cstheme="majorBidi"/>
        </w:rPr>
        <w:t>Ain</w:t>
      </w:r>
      <w:proofErr w:type="spellEnd"/>
      <w:r w:rsidRPr="006A4361">
        <w:rPr>
          <w:rFonts w:asciiTheme="majorBidi" w:hAnsiTheme="majorBidi" w:cstheme="majorBidi"/>
        </w:rPr>
        <w:t xml:space="preserve"> Shams University, Cairo, Egypt 1, 120–150.</w:t>
      </w:r>
    </w:p>
    <w:p w:rsidR="00687BD6" w:rsidRDefault="006A4361">
      <w:pPr>
        <w:spacing w:line="480" w:lineRule="auto"/>
        <w:ind w:left="720" w:hanging="720"/>
        <w:rPr>
          <w:rFonts w:asciiTheme="majorBidi" w:hAnsiTheme="majorBidi" w:cstheme="majorBidi"/>
          <w:bCs/>
        </w:rPr>
      </w:pPr>
      <w:proofErr w:type="spellStart"/>
      <w:r w:rsidRPr="006A4361">
        <w:rPr>
          <w:rFonts w:asciiTheme="majorBidi" w:hAnsiTheme="majorBidi" w:cstheme="majorBidi"/>
          <w:bCs/>
        </w:rPr>
        <w:t>Blakey</w:t>
      </w:r>
      <w:proofErr w:type="spellEnd"/>
      <w:r w:rsidRPr="006A4361">
        <w:rPr>
          <w:rFonts w:asciiTheme="majorBidi" w:hAnsiTheme="majorBidi" w:cstheme="majorBidi"/>
          <w:bCs/>
        </w:rPr>
        <w:t xml:space="preserve">, R., 2010. Global Late Cretaceous (90 Ma) </w:t>
      </w:r>
      <w:proofErr w:type="spellStart"/>
      <w:r w:rsidRPr="006A4361">
        <w:rPr>
          <w:rFonts w:asciiTheme="majorBidi" w:hAnsiTheme="majorBidi" w:cstheme="majorBidi"/>
          <w:bCs/>
        </w:rPr>
        <w:t>paleogeographic</w:t>
      </w:r>
      <w:proofErr w:type="spellEnd"/>
      <w:r w:rsidRPr="006A4361">
        <w:rPr>
          <w:rFonts w:asciiTheme="majorBidi" w:hAnsiTheme="majorBidi" w:cstheme="majorBidi"/>
          <w:bCs/>
        </w:rPr>
        <w:t xml:space="preserve"> map, Colorado Plateau </w:t>
      </w:r>
      <w:proofErr w:type="spellStart"/>
      <w:r w:rsidRPr="006A4361">
        <w:rPr>
          <w:rFonts w:asciiTheme="majorBidi" w:hAnsiTheme="majorBidi" w:cstheme="majorBidi"/>
          <w:bCs/>
        </w:rPr>
        <w:t>Geosystems</w:t>
      </w:r>
      <w:proofErr w:type="spellEnd"/>
      <w:r w:rsidRPr="006A4361">
        <w:rPr>
          <w:rFonts w:asciiTheme="majorBidi" w:hAnsiTheme="majorBidi" w:cstheme="majorBidi"/>
          <w:bCs/>
        </w:rPr>
        <w:t>, Inc. http://jan.ucc.nau.edu/~rcb7/90moll.jpg</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El Beialy, S.Y., 1994. </w:t>
      </w:r>
      <w:proofErr w:type="spellStart"/>
      <w:proofErr w:type="gramStart"/>
      <w:r w:rsidRPr="006A4361">
        <w:rPr>
          <w:rFonts w:asciiTheme="majorBidi" w:hAnsiTheme="majorBidi" w:cstheme="majorBidi"/>
        </w:rPr>
        <w:t>Palynostratigraphy</w:t>
      </w:r>
      <w:proofErr w:type="spellEnd"/>
      <w:r w:rsidRPr="006A4361">
        <w:rPr>
          <w:rFonts w:asciiTheme="majorBidi" w:hAnsiTheme="majorBidi" w:cstheme="majorBidi"/>
        </w:rPr>
        <w:t xml:space="preserve"> and palynofacies analysis of some subsurface Cretaceous formations in the </w:t>
      </w:r>
      <w:proofErr w:type="spellStart"/>
      <w:r w:rsidRPr="006A4361">
        <w:rPr>
          <w:rFonts w:asciiTheme="majorBidi" w:hAnsiTheme="majorBidi" w:cstheme="majorBidi"/>
        </w:rPr>
        <w:t>Badr</w:t>
      </w:r>
      <w:proofErr w:type="spellEnd"/>
      <w:r w:rsidRPr="006A4361">
        <w:rPr>
          <w:rFonts w:asciiTheme="majorBidi" w:hAnsiTheme="majorBidi" w:cstheme="majorBidi"/>
        </w:rPr>
        <w:t xml:space="preserve"> El </w:t>
      </w:r>
      <w:proofErr w:type="spellStart"/>
      <w:r w:rsidRPr="006A4361">
        <w:rPr>
          <w:rFonts w:asciiTheme="majorBidi" w:hAnsiTheme="majorBidi" w:cstheme="majorBidi"/>
        </w:rPr>
        <w:t>Dein</w:t>
      </w:r>
      <w:proofErr w:type="spellEnd"/>
      <w:r w:rsidRPr="006A4361">
        <w:rPr>
          <w:rFonts w:asciiTheme="majorBidi" w:hAnsiTheme="majorBidi" w:cstheme="majorBidi"/>
        </w:rPr>
        <w:t xml:space="preserve"> (Bed 1-1) borehole, north Western Desert, Egypt.</w:t>
      </w:r>
      <w:proofErr w:type="gramEnd"/>
      <w:r w:rsidRPr="006A4361">
        <w:rPr>
          <w:rFonts w:asciiTheme="majorBidi" w:hAnsiTheme="majorBidi" w:cstheme="majorBidi"/>
        </w:rPr>
        <w:t xml:space="preserve"> </w:t>
      </w:r>
      <w:proofErr w:type="spellStart"/>
      <w:r w:rsidRPr="006A4361">
        <w:rPr>
          <w:rFonts w:asciiTheme="majorBidi" w:hAnsiTheme="majorBidi" w:cstheme="majorBidi"/>
        </w:rPr>
        <w:t>Neues</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Jahrbuch</w:t>
      </w:r>
      <w:proofErr w:type="spellEnd"/>
      <w:r w:rsidRPr="006A4361">
        <w:rPr>
          <w:rFonts w:asciiTheme="majorBidi" w:hAnsiTheme="majorBidi" w:cstheme="majorBidi"/>
        </w:rPr>
        <w:t xml:space="preserve"> fur </w:t>
      </w:r>
      <w:proofErr w:type="spellStart"/>
      <w:r w:rsidRPr="006A4361">
        <w:rPr>
          <w:rFonts w:asciiTheme="majorBidi" w:hAnsiTheme="majorBidi" w:cstheme="majorBidi"/>
        </w:rPr>
        <w:t>Geologie</w:t>
      </w:r>
      <w:proofErr w:type="spellEnd"/>
      <w:r w:rsidRPr="006A4361">
        <w:rPr>
          <w:rFonts w:asciiTheme="majorBidi" w:hAnsiTheme="majorBidi" w:cstheme="majorBidi"/>
        </w:rPr>
        <w:t xml:space="preserve"> und </w:t>
      </w:r>
      <w:proofErr w:type="spellStart"/>
      <w:r w:rsidRPr="006A4361">
        <w:rPr>
          <w:rFonts w:asciiTheme="majorBidi" w:hAnsiTheme="majorBidi" w:cstheme="majorBidi"/>
        </w:rPr>
        <w:t>Palaontologie</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Abhandlungen</w:t>
      </w:r>
      <w:proofErr w:type="spellEnd"/>
      <w:r w:rsidRPr="006A4361">
        <w:rPr>
          <w:rFonts w:asciiTheme="majorBidi" w:hAnsiTheme="majorBidi" w:cstheme="majorBidi"/>
        </w:rPr>
        <w:t xml:space="preserve"> 192, 133–150.</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El Beialy, S.Y., 1995. </w:t>
      </w:r>
      <w:proofErr w:type="spellStart"/>
      <w:proofErr w:type="gramStart"/>
      <w:r w:rsidRPr="006A4361">
        <w:rPr>
          <w:rFonts w:asciiTheme="majorBidi" w:hAnsiTheme="majorBidi" w:cstheme="majorBidi"/>
        </w:rPr>
        <w:t>Datation</w:t>
      </w:r>
      <w:proofErr w:type="spellEnd"/>
      <w:r w:rsidRPr="006A4361">
        <w:rPr>
          <w:rFonts w:asciiTheme="majorBidi" w:hAnsiTheme="majorBidi" w:cstheme="majorBidi"/>
        </w:rPr>
        <w:t xml:space="preserve"> and </w:t>
      </w:r>
      <w:proofErr w:type="spellStart"/>
      <w:r w:rsidRPr="006A4361">
        <w:rPr>
          <w:rFonts w:asciiTheme="majorBidi" w:hAnsiTheme="majorBidi" w:cstheme="majorBidi"/>
        </w:rPr>
        <w:t>palaeoenvironmental</w:t>
      </w:r>
      <w:proofErr w:type="spellEnd"/>
      <w:r w:rsidRPr="006A4361">
        <w:rPr>
          <w:rFonts w:asciiTheme="majorBidi" w:hAnsiTheme="majorBidi" w:cstheme="majorBidi"/>
        </w:rPr>
        <w:t xml:space="preserve"> interpretation by </w:t>
      </w:r>
      <w:proofErr w:type="spellStart"/>
      <w:r w:rsidRPr="006A4361">
        <w:rPr>
          <w:rFonts w:asciiTheme="majorBidi" w:hAnsiTheme="majorBidi" w:cstheme="majorBidi"/>
        </w:rPr>
        <w:t>microplankton</w:t>
      </w:r>
      <w:proofErr w:type="spellEnd"/>
      <w:r w:rsidRPr="006A4361">
        <w:rPr>
          <w:rFonts w:asciiTheme="majorBidi" w:hAnsiTheme="majorBidi" w:cstheme="majorBidi"/>
        </w:rPr>
        <w:t xml:space="preserve"> and </w:t>
      </w:r>
      <w:proofErr w:type="spellStart"/>
      <w:r w:rsidRPr="006A4361">
        <w:rPr>
          <w:rFonts w:asciiTheme="majorBidi" w:hAnsiTheme="majorBidi" w:cstheme="majorBidi"/>
        </w:rPr>
        <w:t>miospore</w:t>
      </w:r>
      <w:proofErr w:type="spellEnd"/>
      <w:r w:rsidRPr="006A4361">
        <w:rPr>
          <w:rFonts w:asciiTheme="majorBidi" w:hAnsiTheme="majorBidi" w:cstheme="majorBidi"/>
        </w:rPr>
        <w:t xml:space="preserve"> assemblages of the Razzak Oil Field sediments, Western Desert, Egypt.</w:t>
      </w:r>
      <w:proofErr w:type="gramEnd"/>
      <w:r w:rsidRPr="006A4361">
        <w:rPr>
          <w:rFonts w:asciiTheme="majorBidi" w:hAnsiTheme="majorBidi" w:cstheme="majorBidi"/>
        </w:rPr>
        <w:t xml:space="preserve"> </w:t>
      </w:r>
      <w:proofErr w:type="spellStart"/>
      <w:r w:rsidRPr="006A4361">
        <w:rPr>
          <w:rFonts w:asciiTheme="majorBidi" w:hAnsiTheme="majorBidi" w:cstheme="majorBidi"/>
        </w:rPr>
        <w:t>Geobios</w:t>
      </w:r>
      <w:proofErr w:type="spellEnd"/>
      <w:r w:rsidRPr="006A4361">
        <w:rPr>
          <w:rFonts w:asciiTheme="majorBidi" w:hAnsiTheme="majorBidi" w:cstheme="majorBidi"/>
        </w:rPr>
        <w:t xml:space="preserve"> 28, 663–673.</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El </w:t>
      </w:r>
      <w:proofErr w:type="spellStart"/>
      <w:r w:rsidRPr="006A4361">
        <w:rPr>
          <w:rFonts w:asciiTheme="majorBidi" w:hAnsiTheme="majorBidi" w:cstheme="majorBidi"/>
        </w:rPr>
        <w:t>Beialy</w:t>
      </w:r>
      <w:proofErr w:type="spellEnd"/>
      <w:r w:rsidRPr="006A4361">
        <w:rPr>
          <w:rFonts w:asciiTheme="majorBidi" w:hAnsiTheme="majorBidi" w:cstheme="majorBidi"/>
        </w:rPr>
        <w:t xml:space="preserve">, S.Y., El </w:t>
      </w:r>
      <w:proofErr w:type="spellStart"/>
      <w:r w:rsidRPr="006A4361">
        <w:rPr>
          <w:rFonts w:asciiTheme="majorBidi" w:hAnsiTheme="majorBidi" w:cstheme="majorBidi"/>
        </w:rPr>
        <w:t>Atfy</w:t>
      </w:r>
      <w:proofErr w:type="spellEnd"/>
      <w:r w:rsidRPr="006A4361">
        <w:rPr>
          <w:rFonts w:asciiTheme="majorBidi" w:hAnsiTheme="majorBidi" w:cstheme="majorBidi"/>
        </w:rPr>
        <w:t xml:space="preserve">, H.S., </w:t>
      </w:r>
      <w:proofErr w:type="spellStart"/>
      <w:r w:rsidRPr="006A4361">
        <w:rPr>
          <w:rFonts w:asciiTheme="majorBidi" w:hAnsiTheme="majorBidi" w:cstheme="majorBidi"/>
        </w:rPr>
        <w:t>Zavada</w:t>
      </w:r>
      <w:proofErr w:type="spellEnd"/>
      <w:r w:rsidRPr="006A4361">
        <w:rPr>
          <w:rFonts w:asciiTheme="majorBidi" w:hAnsiTheme="majorBidi" w:cstheme="majorBidi"/>
        </w:rPr>
        <w:t xml:space="preserve">, M.S., El </w:t>
      </w:r>
      <w:proofErr w:type="spellStart"/>
      <w:r w:rsidRPr="006A4361">
        <w:rPr>
          <w:rFonts w:asciiTheme="majorBidi" w:hAnsiTheme="majorBidi" w:cstheme="majorBidi"/>
        </w:rPr>
        <w:t>Khoriby</w:t>
      </w:r>
      <w:proofErr w:type="spellEnd"/>
      <w:r w:rsidRPr="006A4361">
        <w:rPr>
          <w:rFonts w:asciiTheme="majorBidi" w:hAnsiTheme="majorBidi" w:cstheme="majorBidi"/>
        </w:rPr>
        <w:t>, E.M., Abu-</w:t>
      </w:r>
      <w:proofErr w:type="spellStart"/>
      <w:r w:rsidRPr="006A4361">
        <w:rPr>
          <w:rFonts w:asciiTheme="majorBidi" w:hAnsiTheme="majorBidi" w:cstheme="majorBidi"/>
        </w:rPr>
        <w:t>Zied</w:t>
      </w:r>
      <w:proofErr w:type="spellEnd"/>
      <w:r w:rsidRPr="006A4361">
        <w:rPr>
          <w:rFonts w:asciiTheme="majorBidi" w:hAnsiTheme="majorBidi" w:cstheme="majorBidi"/>
        </w:rPr>
        <w:t xml:space="preserve">, R.H., 2010. </w:t>
      </w:r>
      <w:proofErr w:type="gramStart"/>
      <w:r w:rsidRPr="006A4361">
        <w:rPr>
          <w:rFonts w:asciiTheme="majorBidi" w:hAnsiTheme="majorBidi" w:cstheme="majorBidi"/>
        </w:rPr>
        <w:t xml:space="preserve">Palynological, palynofacies, </w:t>
      </w:r>
      <w:proofErr w:type="spellStart"/>
      <w:r w:rsidRPr="006A4361">
        <w:rPr>
          <w:rFonts w:asciiTheme="majorBidi" w:hAnsiTheme="majorBidi" w:cstheme="majorBidi"/>
        </w:rPr>
        <w:t>paleoenvironmental</w:t>
      </w:r>
      <w:proofErr w:type="spellEnd"/>
      <w:r w:rsidRPr="006A4361">
        <w:rPr>
          <w:rFonts w:asciiTheme="majorBidi" w:hAnsiTheme="majorBidi" w:cstheme="majorBidi"/>
        </w:rPr>
        <w:t xml:space="preserve"> and organic geochemical studies on the Upper Cretaceous succession of the GPTSW-7 well, north Western Desert, Egypt.</w:t>
      </w:r>
      <w:proofErr w:type="gramEnd"/>
      <w:r w:rsidRPr="006A4361">
        <w:rPr>
          <w:rFonts w:asciiTheme="majorBidi" w:hAnsiTheme="majorBidi" w:cstheme="majorBidi"/>
        </w:rPr>
        <w:t xml:space="preserve"> Marine and Petroleum Geology 27, 370–385.</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Gale, A.S., </w:t>
      </w:r>
      <w:proofErr w:type="spellStart"/>
      <w:r w:rsidRPr="006A4361">
        <w:rPr>
          <w:rFonts w:asciiTheme="majorBidi" w:hAnsiTheme="majorBidi" w:cstheme="majorBidi"/>
        </w:rPr>
        <w:t>Jenkyns</w:t>
      </w:r>
      <w:proofErr w:type="spellEnd"/>
      <w:r w:rsidRPr="006A4361">
        <w:rPr>
          <w:rFonts w:asciiTheme="majorBidi" w:hAnsiTheme="majorBidi" w:cstheme="majorBidi"/>
        </w:rPr>
        <w:t xml:space="preserve">, H.C., Kennedy, W.J., </w:t>
      </w:r>
      <w:proofErr w:type="spellStart"/>
      <w:r w:rsidRPr="006A4361">
        <w:rPr>
          <w:rFonts w:asciiTheme="majorBidi" w:hAnsiTheme="majorBidi" w:cstheme="majorBidi"/>
        </w:rPr>
        <w:t>Corfield</w:t>
      </w:r>
      <w:proofErr w:type="spellEnd"/>
      <w:r w:rsidRPr="006A4361">
        <w:rPr>
          <w:rFonts w:asciiTheme="majorBidi" w:hAnsiTheme="majorBidi" w:cstheme="majorBidi"/>
        </w:rPr>
        <w:t xml:space="preserve">, R.M., 1993. </w:t>
      </w:r>
      <w:proofErr w:type="spellStart"/>
      <w:r w:rsidRPr="006A4361">
        <w:rPr>
          <w:rFonts w:asciiTheme="majorBidi" w:hAnsiTheme="majorBidi" w:cstheme="majorBidi"/>
        </w:rPr>
        <w:t>Chemostratigraphy</w:t>
      </w:r>
      <w:proofErr w:type="spellEnd"/>
      <w:r w:rsidRPr="006A4361">
        <w:rPr>
          <w:rFonts w:asciiTheme="majorBidi" w:hAnsiTheme="majorBidi" w:cstheme="majorBidi"/>
        </w:rPr>
        <w:t xml:space="preserve"> versus </w:t>
      </w:r>
      <w:proofErr w:type="spellStart"/>
      <w:r w:rsidRPr="006A4361">
        <w:rPr>
          <w:rFonts w:asciiTheme="majorBidi" w:hAnsiTheme="majorBidi" w:cstheme="majorBidi"/>
        </w:rPr>
        <w:t>biostratigraphy</w:t>
      </w:r>
      <w:proofErr w:type="spellEnd"/>
      <w:r w:rsidRPr="006A4361">
        <w:rPr>
          <w:rFonts w:asciiTheme="majorBidi" w:hAnsiTheme="majorBidi" w:cstheme="majorBidi"/>
        </w:rPr>
        <w:t>: data from around the Cenomanian–Turonian boundary. Journal of the Geological Society, London 150, 29–32.</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Hantar</w:t>
      </w:r>
      <w:proofErr w:type="spellEnd"/>
      <w:r w:rsidRPr="006A4361">
        <w:rPr>
          <w:rFonts w:asciiTheme="majorBidi" w:hAnsiTheme="majorBidi" w:cstheme="majorBidi"/>
        </w:rPr>
        <w:t xml:space="preserve">, G., 1990. North Western Desert, in: R. Said, Editor, </w:t>
      </w:r>
      <w:proofErr w:type="gramStart"/>
      <w:r w:rsidRPr="006A4361">
        <w:rPr>
          <w:rFonts w:asciiTheme="majorBidi" w:hAnsiTheme="majorBidi" w:cstheme="majorBidi"/>
        </w:rPr>
        <w:t>The</w:t>
      </w:r>
      <w:proofErr w:type="gramEnd"/>
      <w:r w:rsidRPr="006A4361">
        <w:rPr>
          <w:rFonts w:asciiTheme="majorBidi" w:hAnsiTheme="majorBidi" w:cstheme="majorBidi"/>
        </w:rPr>
        <w:t xml:space="preserve"> Geology of Egypt. </w:t>
      </w:r>
      <w:proofErr w:type="spellStart"/>
      <w:r w:rsidRPr="006A4361">
        <w:rPr>
          <w:rFonts w:asciiTheme="majorBidi" w:hAnsiTheme="majorBidi" w:cstheme="majorBidi"/>
        </w:rPr>
        <w:t>Balkema</w:t>
      </w:r>
      <w:proofErr w:type="spellEnd"/>
      <w:r w:rsidRPr="006A4361">
        <w:rPr>
          <w:rFonts w:asciiTheme="majorBidi" w:hAnsiTheme="majorBidi" w:cstheme="majorBidi"/>
        </w:rPr>
        <w:t>, Rotterdam, The Netherlands, pp. 293–320.</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gramStart"/>
      <w:r w:rsidRPr="006A4361">
        <w:rPr>
          <w:rFonts w:asciiTheme="majorBidi" w:hAnsiTheme="majorBidi" w:cstheme="majorBidi"/>
        </w:rPr>
        <w:t>Hasegawa, T., 1997.</w:t>
      </w:r>
      <w:proofErr w:type="gramEnd"/>
      <w:r w:rsidRPr="006A4361">
        <w:rPr>
          <w:rFonts w:asciiTheme="majorBidi" w:hAnsiTheme="majorBidi" w:cstheme="majorBidi"/>
        </w:rPr>
        <w:t xml:space="preserve"> Cenomanian–Turonian carbon isotope events recorded in terrestrial organic </w:t>
      </w:r>
      <w:r w:rsidRPr="006A4361">
        <w:rPr>
          <w:rFonts w:asciiTheme="majorBidi" w:hAnsiTheme="majorBidi" w:cstheme="majorBidi"/>
        </w:rPr>
        <w:lastRenderedPageBreak/>
        <w:t xml:space="preserve">matter from northern Japan. </w:t>
      </w:r>
      <w:proofErr w:type="spellStart"/>
      <w:r w:rsidRPr="006A4361">
        <w:rPr>
          <w:rFonts w:asciiTheme="majorBidi" w:hAnsiTheme="majorBidi" w:cstheme="majorBidi"/>
        </w:rPr>
        <w:t>Palaeogeography</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Palaeoclimatology</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Palaeoecology</w:t>
      </w:r>
      <w:proofErr w:type="spellEnd"/>
      <w:r w:rsidRPr="006A4361">
        <w:rPr>
          <w:rFonts w:asciiTheme="majorBidi" w:hAnsiTheme="majorBidi" w:cstheme="majorBidi"/>
        </w:rPr>
        <w:t xml:space="preserve"> 130, 251–273.</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Herbin</w:t>
      </w:r>
      <w:proofErr w:type="spellEnd"/>
      <w:r w:rsidRPr="006A4361">
        <w:rPr>
          <w:rFonts w:asciiTheme="majorBidi" w:hAnsiTheme="majorBidi" w:cstheme="majorBidi"/>
        </w:rPr>
        <w:t xml:space="preserve">, J.P., </w:t>
      </w:r>
      <w:proofErr w:type="spellStart"/>
      <w:r w:rsidRPr="006A4361">
        <w:rPr>
          <w:rFonts w:asciiTheme="majorBidi" w:hAnsiTheme="majorBidi" w:cstheme="majorBidi"/>
        </w:rPr>
        <w:t>Montadert</w:t>
      </w:r>
      <w:proofErr w:type="spellEnd"/>
      <w:r w:rsidRPr="006A4361">
        <w:rPr>
          <w:rFonts w:asciiTheme="majorBidi" w:hAnsiTheme="majorBidi" w:cstheme="majorBidi"/>
        </w:rPr>
        <w:t xml:space="preserve">, L., Muller, C., Gomez, R., </w:t>
      </w:r>
      <w:proofErr w:type="spellStart"/>
      <w:r w:rsidRPr="006A4361">
        <w:rPr>
          <w:rFonts w:asciiTheme="majorBidi" w:hAnsiTheme="majorBidi" w:cstheme="majorBidi"/>
        </w:rPr>
        <w:t>Thurow</w:t>
      </w:r>
      <w:proofErr w:type="spellEnd"/>
      <w:r w:rsidRPr="006A4361">
        <w:rPr>
          <w:rFonts w:asciiTheme="majorBidi" w:hAnsiTheme="majorBidi" w:cstheme="majorBidi"/>
        </w:rPr>
        <w:t xml:space="preserve">, J., </w:t>
      </w:r>
      <w:proofErr w:type="spellStart"/>
      <w:r w:rsidRPr="006A4361">
        <w:rPr>
          <w:rFonts w:asciiTheme="majorBidi" w:hAnsiTheme="majorBidi" w:cstheme="majorBidi"/>
        </w:rPr>
        <w:t>Wiedmann</w:t>
      </w:r>
      <w:proofErr w:type="spellEnd"/>
      <w:r w:rsidRPr="006A4361">
        <w:rPr>
          <w:rFonts w:asciiTheme="majorBidi" w:hAnsiTheme="majorBidi" w:cstheme="majorBidi"/>
        </w:rPr>
        <w:t xml:space="preserve">, J., 1986. </w:t>
      </w:r>
      <w:proofErr w:type="gramStart"/>
      <w:r w:rsidRPr="006A4361">
        <w:rPr>
          <w:rFonts w:asciiTheme="majorBidi" w:hAnsiTheme="majorBidi" w:cstheme="majorBidi"/>
        </w:rPr>
        <w:t>Organic-rich sedimentation at the Cenomanian–Turonian boundary in oceanic and coastal basins in the North Atlantic and Tethys.</w:t>
      </w:r>
      <w:proofErr w:type="gramEnd"/>
      <w:r w:rsidRPr="006A4361">
        <w:rPr>
          <w:rFonts w:asciiTheme="majorBidi" w:hAnsiTheme="majorBidi" w:cstheme="majorBidi"/>
        </w:rPr>
        <w:t xml:space="preserve"> Geological Society, London, Special Publications 21, 389–422.</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Ibrahim, M.I.A., 1996. </w:t>
      </w:r>
      <w:proofErr w:type="spellStart"/>
      <w:r w:rsidRPr="006A4361">
        <w:rPr>
          <w:rFonts w:asciiTheme="majorBidi" w:hAnsiTheme="majorBidi" w:cstheme="majorBidi"/>
        </w:rPr>
        <w:t>Aptian–Turonian</w:t>
      </w:r>
      <w:proofErr w:type="spellEnd"/>
      <w:r w:rsidRPr="006A4361">
        <w:rPr>
          <w:rFonts w:asciiTheme="majorBidi" w:hAnsiTheme="majorBidi" w:cstheme="majorBidi"/>
        </w:rPr>
        <w:t xml:space="preserve"> palynology of the Ghazalat-1 Well (GTX-1), Qattara Depression, Egypt. Review of </w:t>
      </w:r>
      <w:proofErr w:type="spellStart"/>
      <w:r w:rsidRPr="006A4361">
        <w:rPr>
          <w:rFonts w:asciiTheme="majorBidi" w:hAnsiTheme="majorBidi" w:cstheme="majorBidi"/>
        </w:rPr>
        <w:t>Palaeobotany</w:t>
      </w:r>
      <w:proofErr w:type="spellEnd"/>
      <w:r w:rsidRPr="006A4361">
        <w:rPr>
          <w:rFonts w:asciiTheme="majorBidi" w:hAnsiTheme="majorBidi" w:cstheme="majorBidi"/>
        </w:rPr>
        <w:t xml:space="preserve"> and Palynology 94, 137–168.</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Ibrahim, M.I.A., </w:t>
      </w:r>
      <w:proofErr w:type="spellStart"/>
      <w:r w:rsidRPr="006A4361">
        <w:rPr>
          <w:rFonts w:asciiTheme="majorBidi" w:hAnsiTheme="majorBidi" w:cstheme="majorBidi"/>
        </w:rPr>
        <w:t>Abul</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Ela</w:t>
      </w:r>
      <w:proofErr w:type="spellEnd"/>
      <w:r w:rsidRPr="006A4361">
        <w:rPr>
          <w:rFonts w:asciiTheme="majorBidi" w:hAnsiTheme="majorBidi" w:cstheme="majorBidi"/>
        </w:rPr>
        <w:t xml:space="preserve">, N.M., </w:t>
      </w:r>
      <w:proofErr w:type="spellStart"/>
      <w:r w:rsidRPr="006A4361">
        <w:rPr>
          <w:rFonts w:asciiTheme="majorBidi" w:hAnsiTheme="majorBidi" w:cstheme="majorBidi"/>
        </w:rPr>
        <w:t>Kholeif</w:t>
      </w:r>
      <w:proofErr w:type="spellEnd"/>
      <w:r w:rsidRPr="006A4361">
        <w:rPr>
          <w:rFonts w:asciiTheme="majorBidi" w:hAnsiTheme="majorBidi" w:cstheme="majorBidi"/>
        </w:rPr>
        <w:t>, S., 1997. Paleoecology, palynofacies, thermal maturation and hydrocarbon source-rock potential of the Jurassic–Lower Cretaceous sequence in the subsurface of the north Eas</w:t>
      </w:r>
      <w:r w:rsidR="00812D46">
        <w:rPr>
          <w:rFonts w:asciiTheme="majorBidi" w:hAnsiTheme="majorBidi" w:cstheme="majorBidi"/>
        </w:rPr>
        <w:t>t</w:t>
      </w:r>
      <w:r w:rsidRPr="006A4361">
        <w:rPr>
          <w:rFonts w:asciiTheme="majorBidi" w:hAnsiTheme="majorBidi" w:cstheme="majorBidi"/>
        </w:rPr>
        <w:t>ern Desert, Egypt. Qatar University Science Journal 17, 153–172.</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Ibrahim, M.I.A., Al-</w:t>
      </w:r>
      <w:proofErr w:type="spellStart"/>
      <w:r w:rsidRPr="006A4361">
        <w:rPr>
          <w:rFonts w:asciiTheme="majorBidi" w:hAnsiTheme="majorBidi" w:cstheme="majorBidi"/>
        </w:rPr>
        <w:t>Saad</w:t>
      </w:r>
      <w:proofErr w:type="spellEnd"/>
      <w:r w:rsidRPr="006A4361">
        <w:rPr>
          <w:rFonts w:asciiTheme="majorBidi" w:hAnsiTheme="majorBidi" w:cstheme="majorBidi"/>
        </w:rPr>
        <w:t xml:space="preserve">, H., 2000. Late Cenomanian–early Turonian low-salinity tolerant agglutinated foraminifera from the Khalda-21 borehole, Western Desert, Egypt. </w:t>
      </w:r>
      <w:proofErr w:type="spellStart"/>
      <w:r w:rsidRPr="006A4361">
        <w:rPr>
          <w:rFonts w:asciiTheme="majorBidi" w:hAnsiTheme="majorBidi" w:cstheme="majorBidi"/>
        </w:rPr>
        <w:t>Neues</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Jahrbuch</w:t>
      </w:r>
      <w:proofErr w:type="spellEnd"/>
      <w:r w:rsidRPr="006A4361">
        <w:rPr>
          <w:rFonts w:asciiTheme="majorBidi" w:hAnsiTheme="majorBidi" w:cstheme="majorBidi"/>
        </w:rPr>
        <w:t xml:space="preserve"> fur </w:t>
      </w:r>
      <w:proofErr w:type="spellStart"/>
      <w:r w:rsidRPr="006A4361">
        <w:rPr>
          <w:rFonts w:asciiTheme="majorBidi" w:hAnsiTheme="majorBidi" w:cstheme="majorBidi"/>
        </w:rPr>
        <w:t>Geologie</w:t>
      </w:r>
      <w:proofErr w:type="spellEnd"/>
      <w:r w:rsidRPr="006A4361">
        <w:rPr>
          <w:rFonts w:asciiTheme="majorBidi" w:hAnsiTheme="majorBidi" w:cstheme="majorBidi"/>
        </w:rPr>
        <w:t xml:space="preserve"> und </w:t>
      </w:r>
      <w:proofErr w:type="spellStart"/>
      <w:r w:rsidRPr="006A4361">
        <w:rPr>
          <w:rFonts w:asciiTheme="majorBidi" w:hAnsiTheme="majorBidi" w:cstheme="majorBidi"/>
        </w:rPr>
        <w:t>Palaontologie</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Abhandlungen</w:t>
      </w:r>
      <w:proofErr w:type="spellEnd"/>
      <w:r w:rsidRPr="006A4361">
        <w:rPr>
          <w:rFonts w:asciiTheme="majorBidi" w:hAnsiTheme="majorBidi" w:cstheme="majorBidi"/>
        </w:rPr>
        <w:t xml:space="preserve"> 216, 67–87.</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Ibrahim, M.I.A., Al-</w:t>
      </w:r>
      <w:proofErr w:type="spellStart"/>
      <w:r w:rsidRPr="006A4361">
        <w:rPr>
          <w:rFonts w:asciiTheme="majorBidi" w:hAnsiTheme="majorBidi" w:cstheme="majorBidi"/>
        </w:rPr>
        <w:t>Saad</w:t>
      </w:r>
      <w:proofErr w:type="spellEnd"/>
      <w:r w:rsidRPr="006A4361">
        <w:rPr>
          <w:rFonts w:asciiTheme="majorBidi" w:hAnsiTheme="majorBidi" w:cstheme="majorBidi"/>
        </w:rPr>
        <w:t xml:space="preserve">, H., </w:t>
      </w:r>
      <w:proofErr w:type="spellStart"/>
      <w:r w:rsidRPr="006A4361">
        <w:rPr>
          <w:rFonts w:asciiTheme="majorBidi" w:hAnsiTheme="majorBidi" w:cstheme="majorBidi"/>
        </w:rPr>
        <w:t>Kholeif</w:t>
      </w:r>
      <w:proofErr w:type="spellEnd"/>
      <w:r w:rsidRPr="006A4361">
        <w:rPr>
          <w:rFonts w:asciiTheme="majorBidi" w:hAnsiTheme="majorBidi" w:cstheme="majorBidi"/>
        </w:rPr>
        <w:t xml:space="preserve">, S.E., 2002. </w:t>
      </w:r>
      <w:proofErr w:type="spellStart"/>
      <w:r w:rsidRPr="006A4361">
        <w:rPr>
          <w:rFonts w:asciiTheme="majorBidi" w:hAnsiTheme="majorBidi" w:cstheme="majorBidi"/>
        </w:rPr>
        <w:t>Chronostratigraphy</w:t>
      </w:r>
      <w:proofErr w:type="spellEnd"/>
      <w:r w:rsidRPr="006A4361">
        <w:rPr>
          <w:rFonts w:asciiTheme="majorBidi" w:hAnsiTheme="majorBidi" w:cstheme="majorBidi"/>
        </w:rPr>
        <w:t xml:space="preserve">, palynofacies, source-rock potential, and organic thermal maturity of Jurassic rocks from Qatar. </w:t>
      </w:r>
      <w:proofErr w:type="spellStart"/>
      <w:r w:rsidRPr="006A4361">
        <w:rPr>
          <w:rFonts w:asciiTheme="majorBidi" w:hAnsiTheme="majorBidi" w:cstheme="majorBidi"/>
        </w:rPr>
        <w:t>GeoArabia</w:t>
      </w:r>
      <w:proofErr w:type="spellEnd"/>
      <w:r w:rsidRPr="006A4361">
        <w:rPr>
          <w:rFonts w:asciiTheme="majorBidi" w:hAnsiTheme="majorBidi" w:cstheme="majorBidi"/>
        </w:rPr>
        <w:t>-Manama 7, 675–696.</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gramStart"/>
      <w:r w:rsidRPr="006A4361">
        <w:rPr>
          <w:rFonts w:asciiTheme="majorBidi" w:hAnsiTheme="majorBidi" w:cstheme="majorBidi"/>
        </w:rPr>
        <w:t>Ibrahim, M., 2002.</w:t>
      </w:r>
      <w:proofErr w:type="gramEnd"/>
      <w:r w:rsidRPr="006A4361">
        <w:rPr>
          <w:rFonts w:asciiTheme="majorBidi" w:hAnsiTheme="majorBidi" w:cstheme="majorBidi"/>
        </w:rPr>
        <w:t xml:space="preserve"> Late </w:t>
      </w:r>
      <w:proofErr w:type="spellStart"/>
      <w:r w:rsidRPr="006A4361">
        <w:rPr>
          <w:rFonts w:asciiTheme="majorBidi" w:hAnsiTheme="majorBidi" w:cstheme="majorBidi"/>
        </w:rPr>
        <w:t>Albian</w:t>
      </w:r>
      <w:proofErr w:type="spellEnd"/>
      <w:r w:rsidRPr="006A4361">
        <w:rPr>
          <w:rFonts w:asciiTheme="majorBidi" w:hAnsiTheme="majorBidi" w:cstheme="majorBidi"/>
        </w:rPr>
        <w:t xml:space="preserve">–middle </w:t>
      </w:r>
      <w:proofErr w:type="spellStart"/>
      <w:r w:rsidRPr="006A4361">
        <w:rPr>
          <w:rFonts w:asciiTheme="majorBidi" w:hAnsiTheme="majorBidi" w:cstheme="majorBidi"/>
        </w:rPr>
        <w:t>Cenomanian</w:t>
      </w:r>
      <w:proofErr w:type="spellEnd"/>
      <w:r w:rsidRPr="006A4361">
        <w:rPr>
          <w:rFonts w:asciiTheme="majorBidi" w:hAnsiTheme="majorBidi" w:cstheme="majorBidi"/>
        </w:rPr>
        <w:t xml:space="preserve"> palynofacies and </w:t>
      </w:r>
      <w:proofErr w:type="spellStart"/>
      <w:r w:rsidRPr="006A4361">
        <w:rPr>
          <w:rFonts w:asciiTheme="majorBidi" w:hAnsiTheme="majorBidi" w:cstheme="majorBidi"/>
        </w:rPr>
        <w:t>palynostratigraphy</w:t>
      </w:r>
      <w:proofErr w:type="spellEnd"/>
      <w:r w:rsidRPr="006A4361">
        <w:rPr>
          <w:rFonts w:asciiTheme="majorBidi" w:hAnsiTheme="majorBidi" w:cstheme="majorBidi"/>
        </w:rPr>
        <w:t>, Abu Gharadig-5 well, Western Desert, Egypt. Cretaceous Research 23, 775–788.</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Ibrahim, M., </w:t>
      </w:r>
      <w:proofErr w:type="spellStart"/>
      <w:r w:rsidRPr="006A4361">
        <w:rPr>
          <w:rFonts w:asciiTheme="majorBidi" w:hAnsiTheme="majorBidi" w:cstheme="majorBidi"/>
        </w:rPr>
        <w:t>Dilcher</w:t>
      </w:r>
      <w:proofErr w:type="spellEnd"/>
      <w:r w:rsidRPr="006A4361">
        <w:rPr>
          <w:rFonts w:asciiTheme="majorBidi" w:hAnsiTheme="majorBidi" w:cstheme="majorBidi"/>
        </w:rPr>
        <w:t xml:space="preserve">, D., </w:t>
      </w:r>
      <w:proofErr w:type="spellStart"/>
      <w:r w:rsidRPr="006A4361">
        <w:rPr>
          <w:rFonts w:asciiTheme="majorBidi" w:hAnsiTheme="majorBidi" w:cstheme="majorBidi"/>
        </w:rPr>
        <w:t>Kholeif</w:t>
      </w:r>
      <w:proofErr w:type="spellEnd"/>
      <w:r w:rsidRPr="006A4361">
        <w:rPr>
          <w:rFonts w:asciiTheme="majorBidi" w:hAnsiTheme="majorBidi" w:cstheme="majorBidi"/>
        </w:rPr>
        <w:t xml:space="preserve">, S., 2009. </w:t>
      </w:r>
      <w:proofErr w:type="gramStart"/>
      <w:r w:rsidRPr="006A4361">
        <w:rPr>
          <w:rFonts w:asciiTheme="majorBidi" w:hAnsiTheme="majorBidi" w:cstheme="majorBidi"/>
        </w:rPr>
        <w:t xml:space="preserve">Palynomorph succession and </w:t>
      </w:r>
      <w:proofErr w:type="spellStart"/>
      <w:r w:rsidRPr="006A4361">
        <w:rPr>
          <w:rFonts w:asciiTheme="majorBidi" w:hAnsiTheme="majorBidi" w:cstheme="majorBidi"/>
        </w:rPr>
        <w:t>paleoenvironment</w:t>
      </w:r>
      <w:proofErr w:type="spellEnd"/>
      <w:r w:rsidRPr="006A4361">
        <w:rPr>
          <w:rFonts w:asciiTheme="majorBidi" w:hAnsiTheme="majorBidi" w:cstheme="majorBidi"/>
        </w:rPr>
        <w:t xml:space="preserve"> in the Upper Cretaceous Abu </w:t>
      </w:r>
      <w:proofErr w:type="spellStart"/>
      <w:r w:rsidRPr="006A4361">
        <w:rPr>
          <w:rFonts w:asciiTheme="majorBidi" w:hAnsiTheme="majorBidi" w:cstheme="majorBidi"/>
        </w:rPr>
        <w:t>Gharadig</w:t>
      </w:r>
      <w:proofErr w:type="spellEnd"/>
      <w:r w:rsidRPr="006A4361">
        <w:rPr>
          <w:rFonts w:asciiTheme="majorBidi" w:hAnsiTheme="majorBidi" w:cstheme="majorBidi"/>
        </w:rPr>
        <w:t xml:space="preserve"> Oil Field, north Western Desert, Egypt.</w:t>
      </w:r>
      <w:proofErr w:type="gramEnd"/>
      <w:r w:rsidRPr="006A4361">
        <w:rPr>
          <w:rFonts w:asciiTheme="majorBidi" w:hAnsiTheme="majorBidi" w:cstheme="majorBidi"/>
        </w:rPr>
        <w:t xml:space="preserve"> Micropaleontology 55, 525–558.</w:t>
      </w:r>
    </w:p>
    <w:p w:rsidR="00687BD6" w:rsidRDefault="006A4361">
      <w:pPr>
        <w:spacing w:line="480" w:lineRule="auto"/>
        <w:ind w:left="720" w:hanging="720"/>
        <w:rPr>
          <w:rFonts w:asciiTheme="majorBidi" w:hAnsiTheme="majorBidi" w:cstheme="majorBidi"/>
        </w:rPr>
      </w:pPr>
      <w:proofErr w:type="spellStart"/>
      <w:proofErr w:type="gramStart"/>
      <w:r w:rsidRPr="006A4361">
        <w:rPr>
          <w:rFonts w:asciiTheme="majorBidi" w:hAnsiTheme="majorBidi" w:cstheme="majorBidi"/>
        </w:rPr>
        <w:lastRenderedPageBreak/>
        <w:t>Issawi</w:t>
      </w:r>
      <w:proofErr w:type="spellEnd"/>
      <w:r w:rsidRPr="006A4361">
        <w:rPr>
          <w:rFonts w:asciiTheme="majorBidi" w:hAnsiTheme="majorBidi" w:cstheme="majorBidi"/>
        </w:rPr>
        <w:t xml:space="preserve">, B., El </w:t>
      </w:r>
      <w:proofErr w:type="spellStart"/>
      <w:r w:rsidRPr="006A4361">
        <w:rPr>
          <w:rFonts w:asciiTheme="majorBidi" w:hAnsiTheme="majorBidi" w:cstheme="majorBidi"/>
        </w:rPr>
        <w:t>Hinnawi</w:t>
      </w:r>
      <w:proofErr w:type="spellEnd"/>
      <w:r w:rsidRPr="006A4361">
        <w:rPr>
          <w:rFonts w:asciiTheme="majorBidi" w:hAnsiTheme="majorBidi" w:cstheme="majorBidi"/>
        </w:rPr>
        <w:t xml:space="preserve">, M., Francis, M., </w:t>
      </w:r>
      <w:proofErr w:type="spellStart"/>
      <w:r w:rsidRPr="006A4361">
        <w:rPr>
          <w:rFonts w:asciiTheme="majorBidi" w:hAnsiTheme="majorBidi" w:cstheme="majorBidi"/>
        </w:rPr>
        <w:t>Mazhar</w:t>
      </w:r>
      <w:proofErr w:type="spellEnd"/>
      <w:r w:rsidRPr="006A4361">
        <w:rPr>
          <w:rFonts w:asciiTheme="majorBidi" w:hAnsiTheme="majorBidi" w:cstheme="majorBidi"/>
        </w:rPr>
        <w:t>, A., 1999.</w:t>
      </w:r>
      <w:proofErr w:type="gramEnd"/>
      <w:r w:rsidRPr="006A4361">
        <w:rPr>
          <w:rFonts w:asciiTheme="majorBidi" w:hAnsiTheme="majorBidi" w:cstheme="majorBidi"/>
        </w:rPr>
        <w:t xml:space="preserve"> The Phanerozoic geology of Egypt: a geodynamic approach. Egyptian Geological Survey, Cairo.</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Jenkyns</w:t>
      </w:r>
      <w:proofErr w:type="spellEnd"/>
      <w:r w:rsidRPr="006A4361">
        <w:rPr>
          <w:rFonts w:asciiTheme="majorBidi" w:hAnsiTheme="majorBidi" w:cstheme="majorBidi"/>
        </w:rPr>
        <w:t xml:space="preserve">, H.C., Gale, A.S., </w:t>
      </w:r>
      <w:proofErr w:type="spellStart"/>
      <w:r w:rsidRPr="006A4361">
        <w:rPr>
          <w:rFonts w:asciiTheme="majorBidi" w:hAnsiTheme="majorBidi" w:cstheme="majorBidi"/>
        </w:rPr>
        <w:t>Corfield</w:t>
      </w:r>
      <w:proofErr w:type="spellEnd"/>
      <w:r w:rsidRPr="006A4361">
        <w:rPr>
          <w:rFonts w:asciiTheme="majorBidi" w:hAnsiTheme="majorBidi" w:cstheme="majorBidi"/>
        </w:rPr>
        <w:t xml:space="preserve">, R.M., 1994. </w:t>
      </w:r>
      <w:proofErr w:type="gramStart"/>
      <w:r w:rsidRPr="006A4361">
        <w:rPr>
          <w:rFonts w:asciiTheme="majorBidi" w:hAnsiTheme="majorBidi" w:cstheme="majorBidi"/>
        </w:rPr>
        <w:t xml:space="preserve">Carbon-and oxygen-isotope stratigraphy of the English Chalk and Italian </w:t>
      </w:r>
      <w:proofErr w:type="spellStart"/>
      <w:r w:rsidRPr="006A4361">
        <w:rPr>
          <w:rFonts w:asciiTheme="majorBidi" w:hAnsiTheme="majorBidi" w:cstheme="majorBidi"/>
        </w:rPr>
        <w:t>Scaglia</w:t>
      </w:r>
      <w:proofErr w:type="spellEnd"/>
      <w:r w:rsidRPr="006A4361">
        <w:rPr>
          <w:rFonts w:asciiTheme="majorBidi" w:hAnsiTheme="majorBidi" w:cstheme="majorBidi"/>
        </w:rPr>
        <w:t xml:space="preserve"> and its </w:t>
      </w:r>
      <w:proofErr w:type="spellStart"/>
      <w:r w:rsidRPr="006A4361">
        <w:rPr>
          <w:rFonts w:asciiTheme="majorBidi" w:hAnsiTheme="majorBidi" w:cstheme="majorBidi"/>
        </w:rPr>
        <w:t>palaeoclimatic</w:t>
      </w:r>
      <w:proofErr w:type="spellEnd"/>
      <w:r w:rsidRPr="006A4361">
        <w:rPr>
          <w:rFonts w:asciiTheme="majorBidi" w:hAnsiTheme="majorBidi" w:cstheme="majorBidi"/>
        </w:rPr>
        <w:t xml:space="preserve"> significance.</w:t>
      </w:r>
      <w:proofErr w:type="gramEnd"/>
      <w:r w:rsidRPr="006A4361">
        <w:rPr>
          <w:rFonts w:asciiTheme="majorBidi" w:hAnsiTheme="majorBidi" w:cstheme="majorBidi"/>
        </w:rPr>
        <w:t xml:space="preserve"> Geological Magazine 131, 1–34.</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Kerr, A.C., 1998. Oceanic plateau formation: a cause of mass extinction and black shale deposition around the Cenomanian–Turonian boundary? Journal of the Geological Society, London 155, 619–626.</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Khaled</w:t>
      </w:r>
      <w:proofErr w:type="spellEnd"/>
      <w:r w:rsidRPr="006A4361">
        <w:rPr>
          <w:rFonts w:asciiTheme="majorBidi" w:hAnsiTheme="majorBidi" w:cstheme="majorBidi"/>
        </w:rPr>
        <w:t xml:space="preserve">, K.A., 1999. Cretaceous source rocks at the Abu </w:t>
      </w:r>
      <w:proofErr w:type="spellStart"/>
      <w:r w:rsidRPr="006A4361">
        <w:rPr>
          <w:rFonts w:asciiTheme="majorBidi" w:hAnsiTheme="majorBidi" w:cstheme="majorBidi"/>
        </w:rPr>
        <w:t>Gharadig</w:t>
      </w:r>
      <w:proofErr w:type="spellEnd"/>
      <w:r w:rsidRPr="006A4361">
        <w:rPr>
          <w:rFonts w:asciiTheme="majorBidi" w:hAnsiTheme="majorBidi" w:cstheme="majorBidi"/>
        </w:rPr>
        <w:t xml:space="preserve"> Oil-and </w:t>
      </w:r>
      <w:proofErr w:type="spellStart"/>
      <w:r w:rsidRPr="006A4361">
        <w:rPr>
          <w:rFonts w:asciiTheme="majorBidi" w:hAnsiTheme="majorBidi" w:cstheme="majorBidi"/>
        </w:rPr>
        <w:t>Gasfield</w:t>
      </w:r>
      <w:proofErr w:type="spellEnd"/>
      <w:r w:rsidRPr="006A4361">
        <w:rPr>
          <w:rFonts w:asciiTheme="majorBidi" w:hAnsiTheme="majorBidi" w:cstheme="majorBidi"/>
        </w:rPr>
        <w:t>, northern Western Desert, Egypt. Journal of Petroleum Geology 22, 377–395.</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Klemme</w:t>
      </w:r>
      <w:proofErr w:type="spellEnd"/>
      <w:r w:rsidRPr="006A4361">
        <w:rPr>
          <w:rFonts w:asciiTheme="majorBidi" w:hAnsiTheme="majorBidi" w:cstheme="majorBidi"/>
        </w:rPr>
        <w:t xml:space="preserve">, H.D., </w:t>
      </w:r>
      <w:proofErr w:type="spellStart"/>
      <w:r w:rsidRPr="006A4361">
        <w:rPr>
          <w:rFonts w:asciiTheme="majorBidi" w:hAnsiTheme="majorBidi" w:cstheme="majorBidi"/>
        </w:rPr>
        <w:t>Ulmishek</w:t>
      </w:r>
      <w:proofErr w:type="spellEnd"/>
      <w:r w:rsidRPr="006A4361">
        <w:rPr>
          <w:rFonts w:asciiTheme="majorBidi" w:hAnsiTheme="majorBidi" w:cstheme="majorBidi"/>
        </w:rPr>
        <w:t>, G.F., 1991. Effective petroleum source rocks of the world: stratigraphic distribution and controlling depositional factors (1). AAPG Bulletin 75, 1809–1851.</w:t>
      </w:r>
    </w:p>
    <w:p w:rsidR="00687BD6" w:rsidRDefault="006A4361">
      <w:pPr>
        <w:spacing w:line="480" w:lineRule="auto"/>
        <w:ind w:left="720" w:hanging="720"/>
        <w:rPr>
          <w:rFonts w:asciiTheme="majorBidi" w:eastAsia="Cambria" w:hAnsiTheme="majorBidi" w:cstheme="majorBidi"/>
          <w:bCs/>
        </w:rPr>
      </w:pPr>
      <w:proofErr w:type="spellStart"/>
      <w:proofErr w:type="gramStart"/>
      <w:r w:rsidRPr="006A4361">
        <w:rPr>
          <w:rFonts w:asciiTheme="majorBidi" w:eastAsia="Times New Roman" w:hAnsiTheme="majorBidi" w:cstheme="majorBidi"/>
        </w:rPr>
        <w:t>Lugowski</w:t>
      </w:r>
      <w:proofErr w:type="spellEnd"/>
      <w:r w:rsidRPr="006A4361">
        <w:rPr>
          <w:rFonts w:asciiTheme="majorBidi" w:eastAsia="Times New Roman" w:hAnsiTheme="majorBidi" w:cstheme="majorBidi"/>
        </w:rPr>
        <w:t xml:space="preserve">, A., </w:t>
      </w:r>
      <w:proofErr w:type="spellStart"/>
      <w:r w:rsidRPr="006A4361">
        <w:rPr>
          <w:rFonts w:asciiTheme="majorBidi" w:eastAsia="Times New Roman" w:hAnsiTheme="majorBidi" w:cstheme="majorBidi"/>
        </w:rPr>
        <w:t>Ogg</w:t>
      </w:r>
      <w:proofErr w:type="spellEnd"/>
      <w:r w:rsidRPr="006A4361">
        <w:rPr>
          <w:rFonts w:asciiTheme="majorBidi" w:eastAsia="Times New Roman" w:hAnsiTheme="majorBidi" w:cstheme="majorBidi"/>
        </w:rPr>
        <w:t>, J., Gradstein, F., 2009.</w:t>
      </w:r>
      <w:proofErr w:type="gramEnd"/>
      <w:r w:rsidRPr="006A4361">
        <w:rPr>
          <w:rFonts w:asciiTheme="majorBidi" w:eastAsia="Times New Roman" w:hAnsiTheme="majorBidi" w:cstheme="majorBidi"/>
        </w:rPr>
        <w:t xml:space="preserve"> </w:t>
      </w:r>
      <w:proofErr w:type="spellStart"/>
      <w:proofErr w:type="gramStart"/>
      <w:r w:rsidR="00A17100" w:rsidRPr="008E4AA8">
        <w:rPr>
          <w:rFonts w:asciiTheme="majorBidi" w:eastAsia="Cambria" w:hAnsiTheme="majorBidi" w:cstheme="majorBidi"/>
          <w:bCs/>
        </w:rPr>
        <w:t>TSC</w:t>
      </w:r>
      <w:r w:rsidR="00551DC9">
        <w:rPr>
          <w:rFonts w:asciiTheme="majorBidi" w:eastAsia="Cambria" w:hAnsiTheme="majorBidi" w:cstheme="majorBidi"/>
          <w:bCs/>
        </w:rPr>
        <w:t>reator</w:t>
      </w:r>
      <w:proofErr w:type="spellEnd"/>
      <w:r w:rsidR="00551DC9">
        <w:rPr>
          <w:rFonts w:asciiTheme="majorBidi" w:eastAsia="Cambria" w:hAnsiTheme="majorBidi" w:cstheme="majorBidi"/>
          <w:bCs/>
        </w:rPr>
        <w:t xml:space="preserve"> PRO software.</w:t>
      </w:r>
      <w:proofErr w:type="gramEnd"/>
      <w:r w:rsidR="00551DC9">
        <w:rPr>
          <w:rFonts w:asciiTheme="majorBidi" w:eastAsia="Cambria" w:hAnsiTheme="majorBidi" w:cstheme="majorBidi"/>
          <w:bCs/>
        </w:rPr>
        <w:t xml:space="preserve"> https://engineering.purdue.edu/Stratigraphy/tscreator/index/index.php</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proofErr w:type="gramStart"/>
      <w:r w:rsidRPr="006A4361">
        <w:rPr>
          <w:rFonts w:asciiTheme="majorBidi" w:hAnsiTheme="majorBidi" w:cstheme="majorBidi"/>
        </w:rPr>
        <w:t>Lüning</w:t>
      </w:r>
      <w:proofErr w:type="spellEnd"/>
      <w:r w:rsidRPr="006A4361">
        <w:rPr>
          <w:rFonts w:asciiTheme="majorBidi" w:hAnsiTheme="majorBidi" w:cstheme="majorBidi"/>
        </w:rPr>
        <w:t xml:space="preserve">, S., </w:t>
      </w:r>
      <w:proofErr w:type="spellStart"/>
      <w:r w:rsidRPr="006A4361">
        <w:rPr>
          <w:rFonts w:asciiTheme="majorBidi" w:hAnsiTheme="majorBidi" w:cstheme="majorBidi"/>
        </w:rPr>
        <w:t>Kolonic</w:t>
      </w:r>
      <w:proofErr w:type="spellEnd"/>
      <w:r w:rsidRPr="006A4361">
        <w:rPr>
          <w:rFonts w:asciiTheme="majorBidi" w:hAnsiTheme="majorBidi" w:cstheme="majorBidi"/>
        </w:rPr>
        <w:t xml:space="preserve">, S., </w:t>
      </w:r>
      <w:proofErr w:type="spellStart"/>
      <w:r w:rsidRPr="006A4361">
        <w:rPr>
          <w:rFonts w:asciiTheme="majorBidi" w:hAnsiTheme="majorBidi" w:cstheme="majorBidi"/>
        </w:rPr>
        <w:t>Belhadj</w:t>
      </w:r>
      <w:proofErr w:type="spellEnd"/>
      <w:r w:rsidRPr="006A4361">
        <w:rPr>
          <w:rFonts w:asciiTheme="majorBidi" w:hAnsiTheme="majorBidi" w:cstheme="majorBidi"/>
        </w:rPr>
        <w:t xml:space="preserve">, E.M., </w:t>
      </w:r>
      <w:proofErr w:type="spellStart"/>
      <w:r w:rsidRPr="006A4361">
        <w:rPr>
          <w:rFonts w:asciiTheme="majorBidi" w:hAnsiTheme="majorBidi" w:cstheme="majorBidi"/>
        </w:rPr>
        <w:t>Belhadj</w:t>
      </w:r>
      <w:proofErr w:type="spellEnd"/>
      <w:r w:rsidRPr="006A4361">
        <w:rPr>
          <w:rFonts w:asciiTheme="majorBidi" w:hAnsiTheme="majorBidi" w:cstheme="majorBidi"/>
        </w:rPr>
        <w:t xml:space="preserve">, Z., </w:t>
      </w:r>
      <w:proofErr w:type="spellStart"/>
      <w:r w:rsidRPr="006A4361">
        <w:rPr>
          <w:rFonts w:asciiTheme="majorBidi" w:hAnsiTheme="majorBidi" w:cstheme="majorBidi"/>
        </w:rPr>
        <w:t>Cota</w:t>
      </w:r>
      <w:proofErr w:type="spellEnd"/>
      <w:r w:rsidRPr="006A4361">
        <w:rPr>
          <w:rFonts w:asciiTheme="majorBidi" w:hAnsiTheme="majorBidi" w:cstheme="majorBidi"/>
        </w:rPr>
        <w:t>, L., Baric, G., Wagner, T., 2004.</w:t>
      </w:r>
      <w:proofErr w:type="gramEnd"/>
      <w:r w:rsidRPr="006A4361">
        <w:rPr>
          <w:rFonts w:asciiTheme="majorBidi" w:hAnsiTheme="majorBidi" w:cstheme="majorBidi"/>
        </w:rPr>
        <w:t xml:space="preserve"> </w:t>
      </w:r>
      <w:proofErr w:type="gramStart"/>
      <w:r w:rsidRPr="006A4361">
        <w:rPr>
          <w:rFonts w:asciiTheme="majorBidi" w:hAnsiTheme="majorBidi" w:cstheme="majorBidi"/>
        </w:rPr>
        <w:t>Integrated depositional model for the Cenomanian–Turonian organic-rich strata in North Africa.</w:t>
      </w:r>
      <w:proofErr w:type="gramEnd"/>
      <w:r w:rsidRPr="006A4361">
        <w:rPr>
          <w:rFonts w:asciiTheme="majorBidi" w:hAnsiTheme="majorBidi" w:cstheme="majorBidi"/>
        </w:rPr>
        <w:t xml:space="preserve"> Earth-Science Reviews 64, 51–117.</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Norton, P., 1967. </w:t>
      </w:r>
      <w:proofErr w:type="gramStart"/>
      <w:r w:rsidRPr="006A4361">
        <w:rPr>
          <w:rFonts w:asciiTheme="majorBidi" w:hAnsiTheme="majorBidi" w:cstheme="majorBidi"/>
        </w:rPr>
        <w:t>Rock stratigraphic nomenclature of the Western Desert, Egypt (internal report).</w:t>
      </w:r>
      <w:proofErr w:type="gramEnd"/>
      <w:r w:rsidRPr="006A4361">
        <w:rPr>
          <w:rFonts w:asciiTheme="majorBidi" w:hAnsiTheme="majorBidi" w:cstheme="majorBidi"/>
        </w:rPr>
        <w:t xml:space="preserve"> General Petroleum Corporation of Egypt.</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Robertson Research International and Associated Research Consultants, 1982. </w:t>
      </w:r>
      <w:proofErr w:type="gramStart"/>
      <w:r w:rsidRPr="006A4361">
        <w:rPr>
          <w:rFonts w:asciiTheme="majorBidi" w:hAnsiTheme="majorBidi" w:cstheme="majorBidi"/>
        </w:rPr>
        <w:t>Petroleum potential evaluation, Western Desert.</w:t>
      </w:r>
      <w:proofErr w:type="gramEnd"/>
      <w:r w:rsidRPr="006A4361">
        <w:rPr>
          <w:rFonts w:asciiTheme="majorBidi" w:hAnsiTheme="majorBidi" w:cstheme="majorBidi"/>
        </w:rPr>
        <w:t xml:space="preserve"> Report prepared by Associated Research Consultants, in association with Scott Pickford and Associates Limited and Energy </w:t>
      </w:r>
      <w:r w:rsidRPr="006A4361">
        <w:rPr>
          <w:rFonts w:asciiTheme="majorBidi" w:hAnsiTheme="majorBidi" w:cstheme="majorBidi"/>
        </w:rPr>
        <w:lastRenderedPageBreak/>
        <w:t>Resource Consultants Limited, for the Egyptian General Petroleum Corporation, Cairo.</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gramStart"/>
      <w:r w:rsidRPr="006A4361">
        <w:rPr>
          <w:rFonts w:asciiTheme="majorBidi" w:hAnsiTheme="majorBidi" w:cstheme="majorBidi"/>
        </w:rPr>
        <w:t>Schlumberger, 1995.</w:t>
      </w:r>
      <w:proofErr w:type="gramEnd"/>
      <w:r w:rsidRPr="006A4361">
        <w:rPr>
          <w:rFonts w:asciiTheme="majorBidi" w:hAnsiTheme="majorBidi" w:cstheme="majorBidi"/>
        </w:rPr>
        <w:t xml:space="preserve"> Well evaluation conference. Egypt.</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proofErr w:type="gramStart"/>
      <w:r w:rsidRPr="006A4361">
        <w:rPr>
          <w:rFonts w:asciiTheme="majorBidi" w:hAnsiTheme="majorBidi" w:cstheme="majorBidi"/>
        </w:rPr>
        <w:t>Schrank</w:t>
      </w:r>
      <w:proofErr w:type="spellEnd"/>
      <w:r w:rsidRPr="006A4361">
        <w:rPr>
          <w:rFonts w:asciiTheme="majorBidi" w:hAnsiTheme="majorBidi" w:cstheme="majorBidi"/>
        </w:rPr>
        <w:t>, E., Ibrahim, M., 1995.</w:t>
      </w:r>
      <w:proofErr w:type="gramEnd"/>
      <w:r w:rsidRPr="006A4361">
        <w:rPr>
          <w:rFonts w:asciiTheme="majorBidi" w:hAnsiTheme="majorBidi" w:cstheme="majorBidi"/>
        </w:rPr>
        <w:t xml:space="preserve"> </w:t>
      </w:r>
      <w:proofErr w:type="gramStart"/>
      <w:r w:rsidRPr="006A4361">
        <w:rPr>
          <w:rFonts w:asciiTheme="majorBidi" w:hAnsiTheme="majorBidi" w:cstheme="majorBidi"/>
        </w:rPr>
        <w:t>Cretaceous (</w:t>
      </w:r>
      <w:proofErr w:type="spellStart"/>
      <w:r w:rsidRPr="006A4361">
        <w:rPr>
          <w:rFonts w:asciiTheme="majorBidi" w:hAnsiTheme="majorBidi" w:cstheme="majorBidi"/>
        </w:rPr>
        <w:t>Aptian–Maastrichtian</w:t>
      </w:r>
      <w:proofErr w:type="spellEnd"/>
      <w:r w:rsidRPr="006A4361">
        <w:rPr>
          <w:rFonts w:asciiTheme="majorBidi" w:hAnsiTheme="majorBidi" w:cstheme="majorBidi"/>
        </w:rPr>
        <w:t>) palynology of foraminifera-dated wells (KRM-1, AG-18) in northwestern Egypt.</w:t>
      </w:r>
      <w:proofErr w:type="gramEnd"/>
      <w:r w:rsidRPr="006A4361">
        <w:rPr>
          <w:rFonts w:asciiTheme="majorBidi" w:hAnsiTheme="majorBidi" w:cstheme="majorBidi"/>
        </w:rPr>
        <w:t xml:space="preserve"> </w:t>
      </w:r>
      <w:proofErr w:type="spellStart"/>
      <w:r w:rsidRPr="006A4361">
        <w:rPr>
          <w:rFonts w:asciiTheme="majorBidi" w:hAnsiTheme="majorBidi" w:cstheme="majorBidi"/>
        </w:rPr>
        <w:t>Selbstverlag</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Fachbereich</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Geowissenschaften</w:t>
      </w:r>
      <w:proofErr w:type="spellEnd"/>
      <w:r w:rsidRPr="006A4361">
        <w:rPr>
          <w:rFonts w:asciiTheme="majorBidi" w:hAnsiTheme="majorBidi" w:cstheme="majorBidi"/>
        </w:rPr>
        <w:t>, FU Berlin.</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Shahin</w:t>
      </w:r>
      <w:proofErr w:type="spellEnd"/>
      <w:r w:rsidRPr="006A4361">
        <w:rPr>
          <w:rFonts w:asciiTheme="majorBidi" w:hAnsiTheme="majorBidi" w:cstheme="majorBidi"/>
        </w:rPr>
        <w:t xml:space="preserve">, A.N., </w:t>
      </w:r>
      <w:proofErr w:type="spellStart"/>
      <w:r w:rsidRPr="006A4361">
        <w:rPr>
          <w:rFonts w:asciiTheme="majorBidi" w:hAnsiTheme="majorBidi" w:cstheme="majorBidi"/>
        </w:rPr>
        <w:t>Shehab</w:t>
      </w:r>
      <w:proofErr w:type="spellEnd"/>
      <w:r w:rsidRPr="006A4361">
        <w:rPr>
          <w:rFonts w:asciiTheme="majorBidi" w:hAnsiTheme="majorBidi" w:cstheme="majorBidi"/>
        </w:rPr>
        <w:t xml:space="preserve">, M.M., Mansour, H.F., 1986. Quantitative evaluation and timing of petroleum generation in Abu </w:t>
      </w:r>
      <w:proofErr w:type="spellStart"/>
      <w:r w:rsidRPr="006A4361">
        <w:rPr>
          <w:rFonts w:asciiTheme="majorBidi" w:hAnsiTheme="majorBidi" w:cstheme="majorBidi"/>
        </w:rPr>
        <w:t>Gharadig</w:t>
      </w:r>
      <w:proofErr w:type="spellEnd"/>
      <w:r w:rsidRPr="006A4361">
        <w:rPr>
          <w:rFonts w:asciiTheme="majorBidi" w:hAnsiTheme="majorBidi" w:cstheme="majorBidi"/>
        </w:rPr>
        <w:t xml:space="preserve"> Basin, Western Desert, Egypt, in: 8th Exploration Conference, Egyptian General Petroleum Corporation. Cairo, pp. 1–18.</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Sinton, C.W., Duncan, R.A., 1997. Potential links between ocean plateau volcanism and global ocean anoxia at the Cenomanian–Turonian boundary. Economic Geology 92, 836–842.</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Traverse, A., 2007. </w:t>
      </w:r>
      <w:proofErr w:type="spellStart"/>
      <w:r w:rsidRPr="006A4361">
        <w:rPr>
          <w:rFonts w:asciiTheme="majorBidi" w:hAnsiTheme="majorBidi" w:cstheme="majorBidi"/>
        </w:rPr>
        <w:t>Paleopalynology</w:t>
      </w:r>
      <w:proofErr w:type="spellEnd"/>
      <w:r w:rsidRPr="006A4361">
        <w:rPr>
          <w:rFonts w:asciiTheme="majorBidi" w:hAnsiTheme="majorBidi" w:cstheme="majorBidi"/>
        </w:rPr>
        <w:t xml:space="preserve">, Second. </w:t>
      </w:r>
      <w:proofErr w:type="spellStart"/>
      <w:proofErr w:type="gramStart"/>
      <w:r w:rsidRPr="006A4361">
        <w:rPr>
          <w:rFonts w:asciiTheme="majorBidi" w:hAnsiTheme="majorBidi" w:cstheme="majorBidi"/>
        </w:rPr>
        <w:t>ed</w:t>
      </w:r>
      <w:proofErr w:type="spellEnd"/>
      <w:proofErr w:type="gramEnd"/>
      <w:r w:rsidRPr="006A4361">
        <w:rPr>
          <w:rFonts w:asciiTheme="majorBidi" w:hAnsiTheme="majorBidi" w:cstheme="majorBidi"/>
        </w:rPr>
        <w:t xml:space="preserve">, Topics in </w:t>
      </w:r>
      <w:proofErr w:type="spellStart"/>
      <w:r w:rsidRPr="006A4361">
        <w:rPr>
          <w:rFonts w:asciiTheme="majorBidi" w:hAnsiTheme="majorBidi" w:cstheme="majorBidi"/>
        </w:rPr>
        <w:t>Geobiology</w:t>
      </w:r>
      <w:proofErr w:type="spellEnd"/>
      <w:r w:rsidRPr="006A4361">
        <w:rPr>
          <w:rFonts w:asciiTheme="majorBidi" w:hAnsiTheme="majorBidi" w:cstheme="majorBidi"/>
        </w:rPr>
        <w:t xml:space="preserve">. </w:t>
      </w:r>
      <w:proofErr w:type="gramStart"/>
      <w:r w:rsidRPr="006A4361">
        <w:rPr>
          <w:rFonts w:asciiTheme="majorBidi" w:hAnsiTheme="majorBidi" w:cstheme="majorBidi"/>
        </w:rPr>
        <w:t>Springer, Dordrecht, Netherlands.</w:t>
      </w:r>
      <w:proofErr w:type="gramEnd"/>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Turgeon, S.C., Creaser, R.A., 2008. Cretaceous oceanic anoxic event 2 triggered by a massive magmatic episode. Nature 454, 323–326.</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Tyson, R.V., 1989. Late Jurassic palynofacies trends, Piper and </w:t>
      </w:r>
      <w:proofErr w:type="spellStart"/>
      <w:r w:rsidRPr="006A4361">
        <w:rPr>
          <w:rFonts w:asciiTheme="majorBidi" w:hAnsiTheme="majorBidi" w:cstheme="majorBidi"/>
        </w:rPr>
        <w:t>Kimmeridge</w:t>
      </w:r>
      <w:proofErr w:type="spellEnd"/>
      <w:r w:rsidRPr="006A4361">
        <w:rPr>
          <w:rFonts w:asciiTheme="majorBidi" w:hAnsiTheme="majorBidi" w:cstheme="majorBidi"/>
        </w:rPr>
        <w:t xml:space="preserve"> Clay Formations, UK onshore and northern North Sea, in: D.J. Batten, M.C. Keen, Editors, Northwest European </w:t>
      </w:r>
      <w:proofErr w:type="spellStart"/>
      <w:r w:rsidRPr="006A4361">
        <w:rPr>
          <w:rFonts w:asciiTheme="majorBidi" w:hAnsiTheme="majorBidi" w:cstheme="majorBidi"/>
        </w:rPr>
        <w:t>micropalaeontology</w:t>
      </w:r>
      <w:proofErr w:type="spellEnd"/>
      <w:r w:rsidRPr="006A4361">
        <w:rPr>
          <w:rFonts w:asciiTheme="majorBidi" w:hAnsiTheme="majorBidi" w:cstheme="majorBidi"/>
        </w:rPr>
        <w:t xml:space="preserve"> and palynology, British </w:t>
      </w:r>
      <w:proofErr w:type="spellStart"/>
      <w:r w:rsidRPr="006A4361">
        <w:rPr>
          <w:rFonts w:asciiTheme="majorBidi" w:hAnsiTheme="majorBidi" w:cstheme="majorBidi"/>
        </w:rPr>
        <w:t>Micropalaeontological</w:t>
      </w:r>
      <w:proofErr w:type="spellEnd"/>
      <w:r w:rsidRPr="006A4361">
        <w:rPr>
          <w:rFonts w:asciiTheme="majorBidi" w:hAnsiTheme="majorBidi" w:cstheme="majorBidi"/>
        </w:rPr>
        <w:t xml:space="preserve"> Society Series. Ellis </w:t>
      </w:r>
      <w:proofErr w:type="spellStart"/>
      <w:r w:rsidRPr="006A4361">
        <w:rPr>
          <w:rFonts w:asciiTheme="majorBidi" w:hAnsiTheme="majorBidi" w:cstheme="majorBidi"/>
        </w:rPr>
        <w:t>Horwood</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Chichester</w:t>
      </w:r>
      <w:proofErr w:type="spellEnd"/>
      <w:r w:rsidRPr="006A4361">
        <w:rPr>
          <w:rFonts w:asciiTheme="majorBidi" w:hAnsiTheme="majorBidi" w:cstheme="majorBidi"/>
        </w:rPr>
        <w:t>, UK, pp. 135–72.</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Tyson, R.V., 1993. Palynofacies analysis, in: D.J. Jenkins, Editor, </w:t>
      </w:r>
      <w:proofErr w:type="gramStart"/>
      <w:r w:rsidRPr="006A4361">
        <w:rPr>
          <w:rFonts w:asciiTheme="majorBidi" w:hAnsiTheme="majorBidi" w:cstheme="majorBidi"/>
        </w:rPr>
        <w:t>Applied</w:t>
      </w:r>
      <w:proofErr w:type="gramEnd"/>
      <w:r w:rsidRPr="006A4361">
        <w:rPr>
          <w:rFonts w:asciiTheme="majorBidi" w:hAnsiTheme="majorBidi" w:cstheme="majorBidi"/>
        </w:rPr>
        <w:t xml:space="preserve"> </w:t>
      </w:r>
      <w:proofErr w:type="spellStart"/>
      <w:r w:rsidRPr="006A4361">
        <w:rPr>
          <w:rFonts w:asciiTheme="majorBidi" w:hAnsiTheme="majorBidi" w:cstheme="majorBidi"/>
        </w:rPr>
        <w:t>Micropalaeontology</w:t>
      </w:r>
      <w:proofErr w:type="spellEnd"/>
      <w:r w:rsidRPr="006A4361">
        <w:rPr>
          <w:rFonts w:asciiTheme="majorBidi" w:hAnsiTheme="majorBidi" w:cstheme="majorBidi"/>
        </w:rPr>
        <w:t>. Kluwer Academic Publishers, Dordrecht, The Netherlands, pp. 153–191.</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Tyson, R.V., 1995. Sedimentary organic matter: organic facies and palynofacies. Chapman and Hall, London.</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Ulmishek</w:t>
      </w:r>
      <w:proofErr w:type="spellEnd"/>
      <w:r w:rsidRPr="006A4361">
        <w:rPr>
          <w:rFonts w:asciiTheme="majorBidi" w:hAnsiTheme="majorBidi" w:cstheme="majorBidi"/>
        </w:rPr>
        <w:t xml:space="preserve">, G.F., </w:t>
      </w:r>
      <w:proofErr w:type="spellStart"/>
      <w:r w:rsidRPr="006A4361">
        <w:rPr>
          <w:rFonts w:asciiTheme="majorBidi" w:hAnsiTheme="majorBidi" w:cstheme="majorBidi"/>
        </w:rPr>
        <w:t>Klemme</w:t>
      </w:r>
      <w:proofErr w:type="spellEnd"/>
      <w:r w:rsidRPr="006A4361">
        <w:rPr>
          <w:rFonts w:asciiTheme="majorBidi" w:hAnsiTheme="majorBidi" w:cstheme="majorBidi"/>
        </w:rPr>
        <w:t xml:space="preserve">, H.D., 1990. Depositional controls, distribution, and effectiveness of </w:t>
      </w:r>
      <w:r w:rsidRPr="006A4361">
        <w:rPr>
          <w:rFonts w:asciiTheme="majorBidi" w:hAnsiTheme="majorBidi" w:cstheme="majorBidi"/>
        </w:rPr>
        <w:lastRenderedPageBreak/>
        <w:t xml:space="preserve">world's petroleum source rocks. </w:t>
      </w:r>
      <w:proofErr w:type="gramStart"/>
      <w:r w:rsidRPr="006A4361">
        <w:rPr>
          <w:rFonts w:asciiTheme="majorBidi" w:hAnsiTheme="majorBidi" w:cstheme="majorBidi"/>
        </w:rPr>
        <w:t>U.S. Geological Survey Bulletin 1931, 59.</w:t>
      </w:r>
      <w:proofErr w:type="gramEnd"/>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Wood, G.D., Miller, M.A., </w:t>
      </w:r>
      <w:proofErr w:type="spellStart"/>
      <w:r w:rsidRPr="006A4361">
        <w:rPr>
          <w:rFonts w:asciiTheme="majorBidi" w:hAnsiTheme="majorBidi" w:cstheme="majorBidi"/>
        </w:rPr>
        <w:t>Sofer</w:t>
      </w:r>
      <w:proofErr w:type="spellEnd"/>
      <w:r w:rsidRPr="006A4361">
        <w:rPr>
          <w:rFonts w:asciiTheme="majorBidi" w:hAnsiTheme="majorBidi" w:cstheme="majorBidi"/>
        </w:rPr>
        <w:t xml:space="preserve">, Z., Krebs, W.N., </w:t>
      </w:r>
      <w:proofErr w:type="spellStart"/>
      <w:r w:rsidRPr="006A4361">
        <w:rPr>
          <w:rFonts w:asciiTheme="majorBidi" w:hAnsiTheme="majorBidi" w:cstheme="majorBidi"/>
        </w:rPr>
        <w:t>Hedlund</w:t>
      </w:r>
      <w:proofErr w:type="spellEnd"/>
      <w:r w:rsidRPr="006A4361">
        <w:rPr>
          <w:rFonts w:asciiTheme="majorBidi" w:hAnsiTheme="majorBidi" w:cstheme="majorBidi"/>
        </w:rPr>
        <w:t xml:space="preserve">, R.W., 1997. Palynology, palynofacies, </w:t>
      </w:r>
      <w:proofErr w:type="spellStart"/>
      <w:r w:rsidRPr="006A4361">
        <w:rPr>
          <w:rFonts w:asciiTheme="majorBidi" w:hAnsiTheme="majorBidi" w:cstheme="majorBidi"/>
        </w:rPr>
        <w:t>paleoenvironments</w:t>
      </w:r>
      <w:proofErr w:type="spellEnd"/>
      <w:r w:rsidRPr="006A4361">
        <w:rPr>
          <w:rFonts w:asciiTheme="majorBidi" w:hAnsiTheme="majorBidi" w:cstheme="majorBidi"/>
        </w:rPr>
        <w:t xml:space="preserve"> and geochemistry of the Lower Cretaceous (pre-salt) </w:t>
      </w:r>
      <w:proofErr w:type="spellStart"/>
      <w:r w:rsidRPr="006A4361">
        <w:rPr>
          <w:rFonts w:asciiTheme="majorBidi" w:hAnsiTheme="majorBidi" w:cstheme="majorBidi"/>
        </w:rPr>
        <w:t>Cocobeach</w:t>
      </w:r>
      <w:proofErr w:type="spellEnd"/>
      <w:r w:rsidRPr="006A4361">
        <w:rPr>
          <w:rFonts w:asciiTheme="majorBidi" w:hAnsiTheme="majorBidi" w:cstheme="majorBidi"/>
        </w:rPr>
        <w:t xml:space="preserve"> Group, north Gabon </w:t>
      </w:r>
      <w:proofErr w:type="spellStart"/>
      <w:r w:rsidRPr="006A4361">
        <w:rPr>
          <w:rFonts w:asciiTheme="majorBidi" w:hAnsiTheme="majorBidi" w:cstheme="majorBidi"/>
        </w:rPr>
        <w:t>Subbasin</w:t>
      </w:r>
      <w:proofErr w:type="spellEnd"/>
      <w:r w:rsidRPr="006A4361">
        <w:rPr>
          <w:rFonts w:asciiTheme="majorBidi" w:hAnsiTheme="majorBidi" w:cstheme="majorBidi"/>
        </w:rPr>
        <w:t>, Gabon. Africa Geoscience Review 4, 481–498.</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gramStart"/>
      <w:r w:rsidRPr="006A4361">
        <w:rPr>
          <w:rFonts w:asciiTheme="majorBidi" w:hAnsiTheme="majorBidi" w:cstheme="majorBidi"/>
        </w:rPr>
        <w:t>Zobaa, M., Sanchez Botero, C., Browne, C., Oboh-Ikuenobe, F.E., Ibrahim, M.I., 2008.</w:t>
      </w:r>
      <w:proofErr w:type="gramEnd"/>
      <w:r w:rsidRPr="006A4361">
        <w:rPr>
          <w:rFonts w:asciiTheme="majorBidi" w:hAnsiTheme="majorBidi" w:cstheme="majorBidi"/>
        </w:rPr>
        <w:t xml:space="preserve"> Kerogen and palynomorph analyses of the mid-Cretaceous </w:t>
      </w:r>
      <w:proofErr w:type="spellStart"/>
      <w:r w:rsidRPr="006A4361">
        <w:rPr>
          <w:rFonts w:asciiTheme="majorBidi" w:hAnsiTheme="majorBidi" w:cstheme="majorBidi"/>
        </w:rPr>
        <w:t>Bahariya</w:t>
      </w:r>
      <w:proofErr w:type="spellEnd"/>
      <w:r w:rsidRPr="006A4361">
        <w:rPr>
          <w:rFonts w:asciiTheme="majorBidi" w:hAnsiTheme="majorBidi" w:cstheme="majorBidi"/>
        </w:rPr>
        <w:t xml:space="preserve"> Formation and Abu Roash “G” member, north Western Desert, Egypt, in: Gulf Coast Association of Geological Societies Transactions. pp. 933–943.</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Zobaa, M.K., Oboh-Ikuenobe, F.E., Ibrahim, M.I., </w:t>
      </w:r>
      <w:proofErr w:type="spellStart"/>
      <w:r w:rsidRPr="006A4361">
        <w:rPr>
          <w:rFonts w:asciiTheme="majorBidi" w:hAnsiTheme="majorBidi" w:cstheme="majorBidi"/>
        </w:rPr>
        <w:t>Arneson</w:t>
      </w:r>
      <w:proofErr w:type="spellEnd"/>
      <w:r w:rsidRPr="006A4361">
        <w:rPr>
          <w:rFonts w:asciiTheme="majorBidi" w:hAnsiTheme="majorBidi" w:cstheme="majorBidi"/>
        </w:rPr>
        <w:t xml:space="preserve">, K.K., Browne, C.M., </w:t>
      </w:r>
      <w:proofErr w:type="spellStart"/>
      <w:r w:rsidRPr="006A4361">
        <w:rPr>
          <w:rFonts w:asciiTheme="majorBidi" w:hAnsiTheme="majorBidi" w:cstheme="majorBidi"/>
        </w:rPr>
        <w:t>Kholeif</w:t>
      </w:r>
      <w:proofErr w:type="spellEnd"/>
      <w:r w:rsidRPr="006A4361">
        <w:rPr>
          <w:rFonts w:asciiTheme="majorBidi" w:hAnsiTheme="majorBidi" w:cstheme="majorBidi"/>
        </w:rPr>
        <w:t>, S., 2009. The Cenomanian/Turonian oceanic anoxic event in the Razzak #7 oil well, north Western Desert, Egypt: palynofacies and isotope analyses, in: 2009 GSA Annual Meeting, Abstracts with Programs. Portland, Oregon, USA, p. 513.</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Zobaa, M.K., Oboh-Ikuenobe, F.E., Zavada, M.S., 2009. Applications of palynology for hydrocarbon exploration: case studies from Egypt, Eastern Tennessee (USA) and the Gulf of Mexico, in: AAPG Annual Convention and Exhibition, Abstract Volume. Denver, Colorado, USA, p. 238.</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r w:rsidRPr="006A4361">
        <w:rPr>
          <w:rFonts w:asciiTheme="majorBidi" w:hAnsiTheme="majorBidi" w:cstheme="majorBidi"/>
        </w:rPr>
        <w:t xml:space="preserve">Zobaa, M.K., Zavada, M.S., Whitelaw, M.J., 2007. Palynofacies analysis, source rock evaluation and organic thermal maturation of the Gray Fossil Site, Gray, Tennessee, in: Eastern Section, AAPG 36th Annual Meeting, </w:t>
      </w:r>
      <w:proofErr w:type="gramStart"/>
      <w:r w:rsidRPr="006A4361">
        <w:rPr>
          <w:rFonts w:asciiTheme="majorBidi" w:hAnsiTheme="majorBidi" w:cstheme="majorBidi"/>
        </w:rPr>
        <w:t>Abstract</w:t>
      </w:r>
      <w:proofErr w:type="gramEnd"/>
      <w:r w:rsidRPr="006A4361">
        <w:rPr>
          <w:rFonts w:asciiTheme="majorBidi" w:hAnsiTheme="majorBidi" w:cstheme="majorBidi"/>
        </w:rPr>
        <w:t>. Lexington, Kentucky, USA, p. 60.</w:t>
      </w:r>
    </w:p>
    <w:p w:rsidR="007852BD" w:rsidRPr="008E4AA8" w:rsidRDefault="006A4361" w:rsidP="007852BD">
      <w:pPr>
        <w:widowControl w:val="0"/>
        <w:autoSpaceDE w:val="0"/>
        <w:autoSpaceDN w:val="0"/>
        <w:adjustRightInd w:val="0"/>
        <w:spacing w:line="480" w:lineRule="auto"/>
        <w:ind w:left="720" w:hanging="720"/>
        <w:rPr>
          <w:rFonts w:asciiTheme="majorBidi" w:hAnsiTheme="majorBidi" w:cstheme="majorBidi"/>
        </w:rPr>
      </w:pPr>
      <w:proofErr w:type="spellStart"/>
      <w:r w:rsidRPr="006A4361">
        <w:rPr>
          <w:rFonts w:asciiTheme="majorBidi" w:hAnsiTheme="majorBidi" w:cstheme="majorBidi"/>
        </w:rPr>
        <w:t>Zobaa</w:t>
      </w:r>
      <w:proofErr w:type="spellEnd"/>
      <w:r w:rsidRPr="006A4361">
        <w:rPr>
          <w:rFonts w:asciiTheme="majorBidi" w:hAnsiTheme="majorBidi" w:cstheme="majorBidi"/>
        </w:rPr>
        <w:t xml:space="preserve">, M.K., </w:t>
      </w:r>
      <w:proofErr w:type="spellStart"/>
      <w:r w:rsidRPr="006A4361">
        <w:rPr>
          <w:rFonts w:asciiTheme="majorBidi" w:hAnsiTheme="majorBidi" w:cstheme="majorBidi"/>
        </w:rPr>
        <w:t>Zavada</w:t>
      </w:r>
      <w:proofErr w:type="spellEnd"/>
      <w:r w:rsidRPr="006A4361">
        <w:rPr>
          <w:rFonts w:asciiTheme="majorBidi" w:hAnsiTheme="majorBidi" w:cstheme="majorBidi"/>
        </w:rPr>
        <w:t xml:space="preserve">, M.S., Whitelaw, M.J., </w:t>
      </w:r>
      <w:proofErr w:type="spellStart"/>
      <w:r w:rsidRPr="006A4361">
        <w:rPr>
          <w:rFonts w:asciiTheme="majorBidi" w:hAnsiTheme="majorBidi" w:cstheme="majorBidi"/>
        </w:rPr>
        <w:t>Shunk</w:t>
      </w:r>
      <w:proofErr w:type="spellEnd"/>
      <w:r w:rsidRPr="006A4361">
        <w:rPr>
          <w:rFonts w:asciiTheme="majorBidi" w:hAnsiTheme="majorBidi" w:cstheme="majorBidi"/>
        </w:rPr>
        <w:t xml:space="preserve">, A.J., </w:t>
      </w:r>
      <w:proofErr w:type="spellStart"/>
      <w:r w:rsidRPr="006A4361">
        <w:rPr>
          <w:rFonts w:asciiTheme="majorBidi" w:hAnsiTheme="majorBidi" w:cstheme="majorBidi"/>
        </w:rPr>
        <w:t>Oboh-Ikuenobe</w:t>
      </w:r>
      <w:proofErr w:type="spellEnd"/>
      <w:r w:rsidRPr="006A4361">
        <w:rPr>
          <w:rFonts w:asciiTheme="majorBidi" w:hAnsiTheme="majorBidi" w:cstheme="majorBidi"/>
        </w:rPr>
        <w:t xml:space="preserve">, F.E., in review. Palynology and palynofacies analyses of the Gray Fossil Site, eastern Tennessee: their role in understanding the basin-fill history. </w:t>
      </w:r>
      <w:proofErr w:type="spellStart"/>
      <w:r w:rsidRPr="006A4361">
        <w:rPr>
          <w:rFonts w:asciiTheme="majorBidi" w:hAnsiTheme="majorBidi" w:cstheme="majorBidi"/>
        </w:rPr>
        <w:t>Palaeogeography</w:t>
      </w:r>
      <w:proofErr w:type="spellEnd"/>
      <w:r w:rsidRPr="006A4361">
        <w:rPr>
          <w:rFonts w:asciiTheme="majorBidi" w:hAnsiTheme="majorBidi" w:cstheme="majorBidi"/>
        </w:rPr>
        <w:t xml:space="preserve">, </w:t>
      </w:r>
      <w:proofErr w:type="spellStart"/>
      <w:r w:rsidRPr="006A4361">
        <w:rPr>
          <w:rFonts w:asciiTheme="majorBidi" w:hAnsiTheme="majorBidi" w:cstheme="majorBidi"/>
        </w:rPr>
        <w:t>Palaeoclimatology</w:t>
      </w:r>
      <w:proofErr w:type="spellEnd"/>
      <w:r w:rsidRPr="006A4361">
        <w:rPr>
          <w:rFonts w:asciiTheme="majorBidi" w:hAnsiTheme="majorBidi" w:cstheme="majorBidi"/>
        </w:rPr>
        <w:t xml:space="preserve">, </w:t>
      </w:r>
      <w:proofErr w:type="spellStart"/>
      <w:r w:rsidRPr="006A4361">
        <w:rPr>
          <w:rFonts w:asciiTheme="majorBidi" w:hAnsiTheme="majorBidi" w:cstheme="majorBidi"/>
        </w:rPr>
        <w:lastRenderedPageBreak/>
        <w:t>Palaeoecology</w:t>
      </w:r>
      <w:proofErr w:type="spellEnd"/>
      <w:r w:rsidRPr="006A4361">
        <w:rPr>
          <w:rFonts w:asciiTheme="majorBidi" w:hAnsiTheme="majorBidi" w:cstheme="majorBidi"/>
        </w:rPr>
        <w:t>.</w:t>
      </w:r>
    </w:p>
    <w:p w:rsidR="003F1597" w:rsidRPr="008E4AA8" w:rsidRDefault="003F1597" w:rsidP="00A17100">
      <w:pPr>
        <w:spacing w:line="480" w:lineRule="auto"/>
        <w:rPr>
          <w:rFonts w:asciiTheme="majorBidi" w:eastAsia="Times New Roman" w:hAnsiTheme="majorBidi" w:cstheme="majorBidi"/>
        </w:rPr>
      </w:pPr>
    </w:p>
    <w:p w:rsidR="00020BD4" w:rsidRPr="008E4AA8" w:rsidRDefault="006A4361" w:rsidP="007852BD">
      <w:pPr>
        <w:spacing w:line="480" w:lineRule="auto"/>
        <w:rPr>
          <w:rFonts w:asciiTheme="majorBidi" w:hAnsiTheme="majorBidi" w:cstheme="majorBidi"/>
          <w:b/>
        </w:rPr>
      </w:pPr>
      <w:r w:rsidRPr="006A4361">
        <w:rPr>
          <w:rFonts w:asciiTheme="majorBidi" w:hAnsiTheme="majorBidi" w:cstheme="majorBidi"/>
          <w:b/>
        </w:rPr>
        <w:t>Figure captions</w:t>
      </w:r>
    </w:p>
    <w:p w:rsidR="005C63A9" w:rsidRPr="008E4AA8" w:rsidRDefault="005C63A9" w:rsidP="00773D56">
      <w:pPr>
        <w:spacing w:line="480" w:lineRule="auto"/>
        <w:rPr>
          <w:rFonts w:asciiTheme="majorBidi" w:hAnsiTheme="majorBidi" w:cstheme="majorBidi"/>
          <w:bCs/>
          <w:color w:val="FF0000"/>
        </w:rPr>
      </w:pPr>
      <w:r w:rsidRPr="008E4AA8">
        <w:rPr>
          <w:rFonts w:asciiTheme="majorBidi" w:hAnsiTheme="majorBidi" w:cstheme="majorBidi"/>
        </w:rPr>
        <w:t>Fig</w:t>
      </w:r>
      <w:r w:rsidR="00551DC9">
        <w:rPr>
          <w:rFonts w:asciiTheme="majorBidi" w:hAnsiTheme="majorBidi" w:cstheme="majorBidi"/>
        </w:rPr>
        <w:t xml:space="preserve">. 1. Composite location map showing: </w:t>
      </w:r>
      <w:r w:rsidR="00551DC9">
        <w:rPr>
          <w:rFonts w:asciiTheme="majorBidi" w:hAnsiTheme="majorBidi" w:cstheme="majorBidi"/>
          <w:b/>
          <w:bCs/>
        </w:rPr>
        <w:t>A-</w:t>
      </w:r>
      <w:r w:rsidR="00551DC9">
        <w:rPr>
          <w:rFonts w:asciiTheme="majorBidi" w:hAnsiTheme="majorBidi" w:cstheme="majorBidi"/>
        </w:rPr>
        <w:t xml:space="preserve"> the position of the Razzak Field along with other major oil and gas fields in the north Western Desert, Egypt; </w:t>
      </w:r>
      <w:r w:rsidR="00551DC9">
        <w:rPr>
          <w:rFonts w:asciiTheme="majorBidi" w:hAnsiTheme="majorBidi" w:cstheme="majorBidi"/>
          <w:b/>
        </w:rPr>
        <w:t>B-</w:t>
      </w:r>
      <w:r w:rsidR="00551DC9">
        <w:rPr>
          <w:rFonts w:asciiTheme="majorBidi" w:hAnsiTheme="majorBidi" w:cstheme="majorBidi"/>
          <w:bCs/>
        </w:rPr>
        <w:t xml:space="preserve"> global reconstruction of the Late Cretaceous (90 Ma ago) demonstrating the approximate position of the north Western Desert (modified from </w:t>
      </w:r>
      <w:proofErr w:type="spellStart"/>
      <w:r w:rsidR="00551DC9">
        <w:rPr>
          <w:rFonts w:asciiTheme="majorBidi" w:hAnsiTheme="majorBidi" w:cstheme="majorBidi"/>
          <w:bCs/>
        </w:rPr>
        <w:t>Blakey</w:t>
      </w:r>
      <w:proofErr w:type="spellEnd"/>
      <w:r w:rsidR="00551DC9">
        <w:rPr>
          <w:rFonts w:asciiTheme="majorBidi" w:hAnsiTheme="majorBidi" w:cstheme="majorBidi"/>
          <w:bCs/>
        </w:rPr>
        <w:t>, 2010).</w:t>
      </w:r>
    </w:p>
    <w:p w:rsidR="003F1597" w:rsidRPr="008E4AA8" w:rsidRDefault="003F1597" w:rsidP="007852BD">
      <w:pPr>
        <w:spacing w:line="480" w:lineRule="auto"/>
        <w:rPr>
          <w:rFonts w:asciiTheme="majorBidi" w:hAnsiTheme="majorBidi" w:cstheme="majorBidi"/>
          <w:bCs/>
        </w:rPr>
      </w:pPr>
    </w:p>
    <w:p w:rsidR="003F1597" w:rsidRPr="008E4AA8" w:rsidRDefault="00551DC9" w:rsidP="00F90734">
      <w:pPr>
        <w:spacing w:line="480" w:lineRule="auto"/>
        <w:rPr>
          <w:rFonts w:asciiTheme="majorBidi" w:eastAsia="Cambria" w:hAnsiTheme="majorBidi" w:cstheme="majorBidi"/>
        </w:rPr>
      </w:pPr>
      <w:r>
        <w:rPr>
          <w:rFonts w:asciiTheme="majorBidi" w:eastAsia="Cambria" w:hAnsiTheme="majorBidi" w:cstheme="majorBidi"/>
        </w:rPr>
        <w:t>Fig. 2. Generalized Upper</w:t>
      </w:r>
      <w:r>
        <w:rPr>
          <w:rFonts w:asciiTheme="majorBidi" w:eastAsia="Cambria" w:hAnsiTheme="majorBidi" w:cstheme="majorBidi"/>
          <w:bCs/>
        </w:rPr>
        <w:t xml:space="preserve"> Cretaceous</w:t>
      </w:r>
      <w:r>
        <w:rPr>
          <w:rFonts w:asciiTheme="majorBidi" w:eastAsia="Cambria" w:hAnsiTheme="majorBidi" w:cstheme="majorBidi"/>
        </w:rPr>
        <w:t xml:space="preserve"> </w:t>
      </w:r>
      <w:proofErr w:type="spellStart"/>
      <w:r>
        <w:rPr>
          <w:rFonts w:asciiTheme="majorBidi" w:eastAsia="Cambria" w:hAnsiTheme="majorBidi" w:cstheme="majorBidi"/>
        </w:rPr>
        <w:t>lithostratigraphic</w:t>
      </w:r>
      <w:proofErr w:type="spellEnd"/>
      <w:r>
        <w:rPr>
          <w:rFonts w:asciiTheme="majorBidi" w:eastAsia="Cambria" w:hAnsiTheme="majorBidi" w:cstheme="majorBidi"/>
        </w:rPr>
        <w:t xml:space="preserve"> column of the Western Desert, Egypt accompanied by primary geomagnetic polarity, transgression-regression cycles, short-term sea-level </w:t>
      </w:r>
      <w:r>
        <w:rPr>
          <w:rFonts w:asciiTheme="majorBidi" w:eastAsia="Cambria" w:hAnsiTheme="majorBidi" w:cstheme="majorBidi"/>
          <w:bCs/>
        </w:rPr>
        <w:t xml:space="preserve">changes, and anoxic events. </w:t>
      </w:r>
      <w:proofErr w:type="spellStart"/>
      <w:r>
        <w:rPr>
          <w:rFonts w:asciiTheme="majorBidi" w:eastAsia="Cambria" w:hAnsiTheme="majorBidi" w:cstheme="majorBidi"/>
          <w:bCs/>
        </w:rPr>
        <w:t>Lithostratigraphic</w:t>
      </w:r>
      <w:proofErr w:type="spellEnd"/>
      <w:r>
        <w:rPr>
          <w:rFonts w:asciiTheme="majorBidi" w:eastAsia="Cambria" w:hAnsiTheme="majorBidi" w:cstheme="majorBidi"/>
          <w:bCs/>
        </w:rPr>
        <w:t xml:space="preserve"> units are after </w:t>
      </w:r>
      <w:r w:rsidR="006A4361" w:rsidRPr="006A4361">
        <w:rPr>
          <w:rFonts w:asciiTheme="majorBidi" w:eastAsia="Cambria" w:hAnsiTheme="majorBidi" w:cstheme="majorBidi"/>
        </w:rPr>
        <w:t>Schlumberger (1995).</w:t>
      </w:r>
      <w:r w:rsidR="003F1597" w:rsidRPr="008E4AA8">
        <w:rPr>
          <w:rFonts w:asciiTheme="majorBidi" w:eastAsia="Cambria" w:hAnsiTheme="majorBidi" w:cstheme="majorBidi"/>
          <w:bCs/>
        </w:rPr>
        <w:t xml:space="preserve"> </w:t>
      </w:r>
      <w:r>
        <w:rPr>
          <w:rFonts w:asciiTheme="majorBidi" w:eastAsia="Cambria" w:hAnsiTheme="majorBidi" w:cstheme="majorBidi"/>
          <w:bCs/>
        </w:rPr>
        <w:t xml:space="preserve">This figure was created using the </w:t>
      </w:r>
      <w:proofErr w:type="spellStart"/>
      <w:r>
        <w:rPr>
          <w:rFonts w:asciiTheme="majorBidi" w:eastAsia="Cambria" w:hAnsiTheme="majorBidi" w:cstheme="majorBidi"/>
          <w:bCs/>
        </w:rPr>
        <w:t>TSCreator</w:t>
      </w:r>
      <w:proofErr w:type="spellEnd"/>
      <w:r>
        <w:rPr>
          <w:rFonts w:asciiTheme="majorBidi" w:eastAsia="Cambria" w:hAnsiTheme="majorBidi" w:cstheme="majorBidi"/>
          <w:bCs/>
        </w:rPr>
        <w:t xml:space="preserve"> software of </w:t>
      </w:r>
      <w:proofErr w:type="spellStart"/>
      <w:r>
        <w:rPr>
          <w:rFonts w:asciiTheme="majorBidi" w:hAnsiTheme="majorBidi" w:cstheme="majorBidi"/>
        </w:rPr>
        <w:t>Lugowski</w:t>
      </w:r>
      <w:proofErr w:type="spellEnd"/>
      <w:r>
        <w:rPr>
          <w:rFonts w:asciiTheme="majorBidi" w:hAnsiTheme="majorBidi" w:cstheme="majorBidi"/>
        </w:rPr>
        <w:t xml:space="preserve"> et al. (2009).</w:t>
      </w:r>
    </w:p>
    <w:p w:rsidR="003F1597" w:rsidRPr="008E4AA8" w:rsidRDefault="003F1597" w:rsidP="007852BD">
      <w:pPr>
        <w:spacing w:line="480" w:lineRule="auto"/>
        <w:rPr>
          <w:rFonts w:asciiTheme="majorBidi" w:hAnsiTheme="majorBidi" w:cstheme="majorBidi"/>
        </w:rPr>
      </w:pPr>
    </w:p>
    <w:p w:rsidR="00024409" w:rsidRPr="008E4AA8" w:rsidRDefault="00551DC9" w:rsidP="00773D56">
      <w:pPr>
        <w:spacing w:line="480" w:lineRule="auto"/>
        <w:rPr>
          <w:rFonts w:asciiTheme="majorBidi" w:hAnsiTheme="majorBidi" w:cstheme="majorBidi"/>
          <w:color w:val="FF0000"/>
        </w:rPr>
      </w:pPr>
      <w:r>
        <w:rPr>
          <w:rFonts w:asciiTheme="majorBidi" w:hAnsiTheme="majorBidi" w:cstheme="majorBidi"/>
        </w:rPr>
        <w:t xml:space="preserve">Fig. 3. Composite chart illustrating the lithologic composition of the Abu Roash  “G”, “F”, and “E” members in the Razzak </w:t>
      </w:r>
      <w:r w:rsidR="006A4361" w:rsidRPr="006A4361">
        <w:rPr>
          <w:rFonts w:asciiTheme="majorBidi" w:eastAsia="Cambria" w:hAnsiTheme="majorBidi" w:cstheme="majorBidi"/>
          <w:bCs/>
        </w:rPr>
        <w:t>#7 oil well,</w:t>
      </w:r>
      <w:r w:rsidR="00024409" w:rsidRPr="008E4AA8">
        <w:rPr>
          <w:rFonts w:asciiTheme="majorBidi" w:hAnsiTheme="majorBidi" w:cstheme="majorBidi"/>
        </w:rPr>
        <w:t xml:space="preserve"> </w:t>
      </w:r>
      <w:r>
        <w:rPr>
          <w:rFonts w:asciiTheme="majorBidi" w:hAnsiTheme="majorBidi" w:cstheme="majorBidi"/>
          <w:bCs/>
        </w:rPr>
        <w:t xml:space="preserve">the </w:t>
      </w:r>
      <w:r>
        <w:rPr>
          <w:rFonts w:asciiTheme="majorBidi" w:hAnsiTheme="majorBidi" w:cstheme="majorBidi"/>
        </w:rPr>
        <w:t xml:space="preserve">percentage distribution of particulate organic matter components, interpretation of hydrocarbon source rock potential, and the observed change in the </w:t>
      </w:r>
      <w:r w:rsidR="00024409" w:rsidRPr="008E4AA8">
        <w:rPr>
          <w:rFonts w:asciiTheme="majorBidi" w:hAnsiTheme="majorBidi" w:cstheme="majorBidi"/>
        </w:rPr>
        <w:sym w:font="Symbol" w:char="F064"/>
      </w:r>
      <w:r w:rsidR="00024409" w:rsidRPr="008E4AA8">
        <w:rPr>
          <w:rFonts w:asciiTheme="majorBidi" w:hAnsiTheme="majorBidi" w:cstheme="majorBidi"/>
          <w:vertAlign w:val="superscript"/>
        </w:rPr>
        <w:t>13</w:t>
      </w:r>
      <w:r>
        <w:rPr>
          <w:rFonts w:asciiTheme="majorBidi" w:hAnsiTheme="majorBidi" w:cstheme="majorBidi"/>
        </w:rPr>
        <w:t>C</w:t>
      </w:r>
      <w:r>
        <w:rPr>
          <w:rFonts w:asciiTheme="majorBidi" w:hAnsiTheme="majorBidi" w:cstheme="majorBidi"/>
          <w:vertAlign w:val="subscript"/>
        </w:rPr>
        <w:t>org</w:t>
      </w:r>
      <w:r>
        <w:rPr>
          <w:rFonts w:asciiTheme="majorBidi" w:hAnsiTheme="majorBidi" w:cstheme="majorBidi"/>
        </w:rPr>
        <w:t xml:space="preserve"> and TOC profiles at the </w:t>
      </w:r>
      <w:r w:rsidR="006A4361" w:rsidRPr="006A4361">
        <w:rPr>
          <w:rFonts w:asciiTheme="majorBidi" w:eastAsia="Cambria" w:hAnsiTheme="majorBidi" w:cstheme="majorBidi"/>
          <w:bCs/>
        </w:rPr>
        <w:t>Cenomanian/Turonian boundary</w:t>
      </w:r>
      <w:r w:rsidR="00024409" w:rsidRPr="008E4AA8">
        <w:rPr>
          <w:rFonts w:asciiTheme="majorBidi" w:hAnsiTheme="majorBidi" w:cstheme="majorBidi"/>
        </w:rPr>
        <w:t>.</w:t>
      </w:r>
    </w:p>
    <w:p w:rsidR="00F90734" w:rsidRPr="008E4AA8" w:rsidRDefault="00F90734" w:rsidP="007852BD">
      <w:pPr>
        <w:spacing w:line="480" w:lineRule="auto"/>
        <w:jc w:val="center"/>
        <w:rPr>
          <w:rFonts w:asciiTheme="majorBidi" w:hAnsiTheme="majorBidi" w:cstheme="majorBidi"/>
          <w:b/>
          <w:bCs/>
        </w:rPr>
      </w:pPr>
    </w:p>
    <w:p w:rsidR="00A56F2F" w:rsidRPr="008E4AA8" w:rsidRDefault="006A4361" w:rsidP="007852BD">
      <w:pPr>
        <w:spacing w:line="480" w:lineRule="auto"/>
        <w:jc w:val="center"/>
        <w:rPr>
          <w:rFonts w:asciiTheme="majorBidi" w:hAnsiTheme="majorBidi" w:cstheme="majorBidi"/>
          <w:b/>
          <w:bCs/>
        </w:rPr>
      </w:pPr>
      <w:r w:rsidRPr="006A4361">
        <w:rPr>
          <w:rFonts w:asciiTheme="majorBidi" w:hAnsiTheme="majorBidi" w:cstheme="majorBidi"/>
          <w:b/>
          <w:bCs/>
        </w:rPr>
        <w:t>Plate 1</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Specimen names are followed by sample number (Kr = kerogen), England Finder reference (if applicable), and magnification. Scale bar equals 10 µm unless otherwise noted.</w:t>
      </w:r>
    </w:p>
    <w:p w:rsidR="00A56F2F" w:rsidRPr="008E4AA8" w:rsidRDefault="00A56F2F" w:rsidP="007852BD">
      <w:pPr>
        <w:spacing w:line="480" w:lineRule="auto"/>
        <w:rPr>
          <w:rFonts w:asciiTheme="majorBidi" w:hAnsiTheme="majorBidi" w:cstheme="majorBidi"/>
        </w:rPr>
      </w:pPr>
    </w:p>
    <w:p w:rsidR="00A56F2F" w:rsidRPr="008E4AA8" w:rsidRDefault="006A4361" w:rsidP="00F90734">
      <w:pPr>
        <w:spacing w:line="480" w:lineRule="auto"/>
        <w:rPr>
          <w:rFonts w:asciiTheme="majorBidi" w:hAnsiTheme="majorBidi" w:cstheme="majorBidi"/>
        </w:rPr>
      </w:pPr>
      <w:r w:rsidRPr="006A4361">
        <w:rPr>
          <w:rFonts w:asciiTheme="majorBidi" w:hAnsiTheme="majorBidi" w:cstheme="majorBidi"/>
        </w:rPr>
        <w:lastRenderedPageBreak/>
        <w:t>1–3.</w:t>
      </w:r>
      <w:r w:rsidRPr="006A4361">
        <w:rPr>
          <w:rFonts w:asciiTheme="majorBidi" w:hAnsiTheme="majorBidi" w:cstheme="majorBidi"/>
        </w:rPr>
        <w:tab/>
      </w:r>
      <w:proofErr w:type="spellStart"/>
      <w:r w:rsidRPr="006A4361">
        <w:rPr>
          <w:rFonts w:asciiTheme="majorBidi" w:hAnsiTheme="majorBidi" w:cstheme="majorBidi"/>
        </w:rPr>
        <w:t>Coenobia</w:t>
      </w:r>
      <w:proofErr w:type="spellEnd"/>
      <w:r w:rsidRPr="006A4361">
        <w:rPr>
          <w:rFonts w:asciiTheme="majorBidi" w:hAnsiTheme="majorBidi" w:cstheme="majorBidi"/>
        </w:rPr>
        <w:t xml:space="preserve"> of </w:t>
      </w:r>
      <w:proofErr w:type="spellStart"/>
      <w:r w:rsidRPr="006A4361">
        <w:rPr>
          <w:rFonts w:asciiTheme="majorBidi" w:hAnsiTheme="majorBidi" w:cstheme="majorBidi"/>
          <w:i/>
        </w:rPr>
        <w:t>Pediastrum</w:t>
      </w:r>
      <w:proofErr w:type="spellEnd"/>
      <w:r w:rsidRPr="006A4361">
        <w:rPr>
          <w:rFonts w:asciiTheme="majorBidi" w:hAnsiTheme="majorBidi" w:cstheme="majorBidi"/>
        </w:rPr>
        <w:t xml:space="preserve"> (a freshwater </w:t>
      </w:r>
      <w:proofErr w:type="spellStart"/>
      <w:r w:rsidRPr="006A4361">
        <w:rPr>
          <w:rFonts w:asciiTheme="majorBidi" w:hAnsiTheme="majorBidi" w:cstheme="majorBidi"/>
        </w:rPr>
        <w:t>Chlorococcalean</w:t>
      </w:r>
      <w:proofErr w:type="spellEnd"/>
      <w:r w:rsidRPr="006A4361">
        <w:rPr>
          <w:rFonts w:asciiTheme="majorBidi" w:hAnsiTheme="majorBidi" w:cstheme="majorBidi"/>
        </w:rPr>
        <w:t xml:space="preserve"> green alga of the Family </w:t>
      </w:r>
      <w:proofErr w:type="spellStart"/>
      <w:r w:rsidRPr="006A4361">
        <w:rPr>
          <w:rFonts w:asciiTheme="majorBidi" w:hAnsiTheme="majorBidi" w:cstheme="majorBidi"/>
        </w:rPr>
        <w:t>Hydrodictyaceae</w:t>
      </w:r>
      <w:proofErr w:type="spellEnd"/>
      <w:r w:rsidRPr="006A4361">
        <w:rPr>
          <w:rFonts w:asciiTheme="majorBidi" w:hAnsiTheme="majorBidi" w:cstheme="majorBidi"/>
        </w:rPr>
        <w:t>: 1, sample 51/1, F33/0, 100X; 2, sample 51/1, N43/0, 100X; 3, sample 50/1, L46/2, 100X.</w:t>
      </w:r>
    </w:p>
    <w:p w:rsidR="00A56F2F" w:rsidRPr="008E4AA8" w:rsidRDefault="006A4361" w:rsidP="007852BD">
      <w:pPr>
        <w:spacing w:line="480" w:lineRule="auto"/>
        <w:rPr>
          <w:rFonts w:asciiTheme="majorBidi" w:hAnsiTheme="majorBidi" w:cstheme="majorBidi"/>
        </w:rPr>
      </w:pPr>
      <w:proofErr w:type="gramStart"/>
      <w:r w:rsidRPr="006A4361">
        <w:rPr>
          <w:rFonts w:asciiTheme="majorBidi" w:hAnsiTheme="majorBidi" w:cstheme="majorBidi"/>
        </w:rPr>
        <w:t>4, 5.</w:t>
      </w:r>
      <w:proofErr w:type="gramEnd"/>
      <w:r w:rsidRPr="006A4361">
        <w:rPr>
          <w:rFonts w:asciiTheme="majorBidi" w:hAnsiTheme="majorBidi" w:cstheme="majorBidi"/>
        </w:rPr>
        <w:tab/>
        <w:t xml:space="preserve">Compound colonies of </w:t>
      </w:r>
      <w:proofErr w:type="spellStart"/>
      <w:r w:rsidRPr="006A4361">
        <w:rPr>
          <w:rFonts w:asciiTheme="majorBidi" w:hAnsiTheme="majorBidi" w:cstheme="majorBidi"/>
          <w:i/>
          <w:iCs/>
        </w:rPr>
        <w:t>Tetrastrum</w:t>
      </w:r>
      <w:proofErr w:type="spellEnd"/>
      <w:r w:rsidRPr="006A4361">
        <w:rPr>
          <w:rFonts w:asciiTheme="majorBidi" w:hAnsiTheme="majorBidi" w:cstheme="majorBidi"/>
        </w:rPr>
        <w:t xml:space="preserve"> (a freshwater </w:t>
      </w:r>
      <w:proofErr w:type="spellStart"/>
      <w:r w:rsidRPr="006A4361">
        <w:rPr>
          <w:rFonts w:asciiTheme="majorBidi" w:hAnsiTheme="majorBidi" w:cstheme="majorBidi"/>
        </w:rPr>
        <w:t>Chlorococcalean</w:t>
      </w:r>
      <w:proofErr w:type="spellEnd"/>
      <w:r w:rsidRPr="006A4361">
        <w:rPr>
          <w:rFonts w:asciiTheme="majorBidi" w:hAnsiTheme="majorBidi" w:cstheme="majorBidi"/>
        </w:rPr>
        <w:t xml:space="preserve"> green alga of the Family </w:t>
      </w:r>
      <w:proofErr w:type="spellStart"/>
      <w:r w:rsidRPr="006A4361">
        <w:rPr>
          <w:rFonts w:asciiTheme="majorBidi" w:hAnsiTheme="majorBidi" w:cstheme="majorBidi"/>
        </w:rPr>
        <w:t>Scenedesmaceae</w:t>
      </w:r>
      <w:proofErr w:type="spellEnd"/>
      <w:r w:rsidRPr="006A4361">
        <w:rPr>
          <w:rFonts w:asciiTheme="majorBidi" w:hAnsiTheme="majorBidi" w:cstheme="majorBidi"/>
        </w:rPr>
        <w:t>); sample 48/1, H40/1 and N38/0 respectively, 100X.</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6.</w:t>
      </w:r>
      <w:r w:rsidRPr="006A4361">
        <w:rPr>
          <w:rFonts w:asciiTheme="majorBidi" w:hAnsiTheme="majorBidi" w:cstheme="majorBidi"/>
        </w:rPr>
        <w:tab/>
      </w:r>
      <w:proofErr w:type="spellStart"/>
      <w:r w:rsidRPr="006A4361">
        <w:rPr>
          <w:rFonts w:asciiTheme="majorBidi" w:eastAsia="Cambria" w:hAnsiTheme="majorBidi" w:cstheme="majorBidi"/>
          <w:i/>
          <w:lang w:eastAsia="ar-EG" w:bidi="ar-EG"/>
        </w:rPr>
        <w:t>Odontochitina</w:t>
      </w:r>
      <w:proofErr w:type="spellEnd"/>
      <w:r w:rsidRPr="006A4361">
        <w:rPr>
          <w:rFonts w:asciiTheme="majorBidi" w:eastAsia="Cambria" w:hAnsiTheme="majorBidi" w:cstheme="majorBidi"/>
          <w:lang w:eastAsia="ar-EG" w:bidi="ar-EG"/>
        </w:rPr>
        <w:t xml:space="preserve"> sp.; sample 63/1, O37/4, 40X.</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7.</w:t>
      </w:r>
      <w:r w:rsidRPr="006A4361">
        <w:rPr>
          <w:rFonts w:asciiTheme="majorBidi" w:hAnsiTheme="majorBidi" w:cstheme="majorBidi"/>
        </w:rPr>
        <w:tab/>
      </w:r>
      <w:proofErr w:type="spellStart"/>
      <w:r w:rsidRPr="006A4361">
        <w:rPr>
          <w:rFonts w:asciiTheme="majorBidi" w:eastAsia="Cambria" w:hAnsiTheme="majorBidi" w:cstheme="majorBidi"/>
          <w:i/>
          <w:iCs/>
        </w:rPr>
        <w:t>Subtilisphaera</w:t>
      </w:r>
      <w:proofErr w:type="spellEnd"/>
      <w:r w:rsidRPr="006A4361">
        <w:rPr>
          <w:rFonts w:asciiTheme="majorBidi" w:eastAsia="Cambria" w:hAnsiTheme="majorBidi" w:cstheme="majorBidi"/>
        </w:rPr>
        <w:t xml:space="preserve"> sp.; sample 66/1, K45/1, 40X.</w:t>
      </w:r>
    </w:p>
    <w:p w:rsidR="00A56F2F" w:rsidRPr="008E4AA8" w:rsidRDefault="006A4361" w:rsidP="007852BD">
      <w:pPr>
        <w:spacing w:line="480" w:lineRule="auto"/>
        <w:rPr>
          <w:rFonts w:asciiTheme="majorBidi" w:hAnsiTheme="majorBidi" w:cstheme="majorBidi"/>
          <w:iCs/>
        </w:rPr>
      </w:pPr>
      <w:r w:rsidRPr="006A4361">
        <w:rPr>
          <w:rFonts w:asciiTheme="majorBidi" w:hAnsiTheme="majorBidi" w:cstheme="majorBidi"/>
        </w:rPr>
        <w:t>8.</w:t>
      </w:r>
      <w:r w:rsidRPr="006A4361">
        <w:rPr>
          <w:rFonts w:asciiTheme="majorBidi" w:hAnsiTheme="majorBidi" w:cstheme="majorBidi"/>
        </w:rPr>
        <w:tab/>
      </w:r>
      <w:proofErr w:type="spellStart"/>
      <w:r w:rsidRPr="006A4361">
        <w:rPr>
          <w:rFonts w:asciiTheme="majorBidi" w:eastAsia="Cambria" w:hAnsiTheme="majorBidi" w:cstheme="majorBidi"/>
          <w:i/>
          <w:lang w:eastAsia="ar-EG" w:bidi="ar-EG"/>
        </w:rPr>
        <w:t>Oligosphaeridium</w:t>
      </w:r>
      <w:proofErr w:type="spellEnd"/>
      <w:r w:rsidRPr="006A4361">
        <w:rPr>
          <w:rFonts w:asciiTheme="majorBidi" w:eastAsia="Cambria" w:hAnsiTheme="majorBidi" w:cstheme="majorBidi"/>
          <w:lang w:eastAsia="ar-EG" w:bidi="ar-EG"/>
        </w:rPr>
        <w:t xml:space="preserve"> </w:t>
      </w:r>
      <w:proofErr w:type="spellStart"/>
      <w:r w:rsidRPr="006A4361">
        <w:rPr>
          <w:rFonts w:asciiTheme="majorBidi" w:eastAsia="Cambria" w:hAnsiTheme="majorBidi" w:cstheme="majorBidi"/>
          <w:i/>
        </w:rPr>
        <w:t>pulcherrimum</w:t>
      </w:r>
      <w:proofErr w:type="spellEnd"/>
      <w:r w:rsidRPr="006A4361">
        <w:rPr>
          <w:rFonts w:asciiTheme="majorBidi" w:eastAsia="Cambria" w:hAnsiTheme="majorBidi" w:cstheme="majorBidi"/>
          <w:iCs/>
        </w:rPr>
        <w:t>; sample 51/1, T36/0, 40X.</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9.</w:t>
      </w:r>
      <w:r w:rsidRPr="006A4361">
        <w:rPr>
          <w:rFonts w:asciiTheme="majorBidi" w:hAnsiTheme="majorBidi" w:cstheme="majorBidi"/>
        </w:rPr>
        <w:tab/>
      </w:r>
      <w:proofErr w:type="spellStart"/>
      <w:r w:rsidRPr="006A4361">
        <w:rPr>
          <w:rFonts w:asciiTheme="majorBidi" w:hAnsiTheme="majorBidi" w:cstheme="majorBidi"/>
          <w:i/>
          <w:iCs/>
        </w:rPr>
        <w:t>Bennettiteaepollenites</w:t>
      </w:r>
      <w:proofErr w:type="spellEnd"/>
      <w:r w:rsidRPr="006A4361">
        <w:rPr>
          <w:rFonts w:asciiTheme="majorBidi" w:hAnsiTheme="majorBidi" w:cstheme="majorBidi"/>
          <w:b/>
          <w:bCs/>
          <w:i/>
          <w:iCs/>
        </w:rPr>
        <w:t xml:space="preserve"> </w:t>
      </w:r>
      <w:proofErr w:type="spellStart"/>
      <w:r w:rsidRPr="006A4361">
        <w:rPr>
          <w:rFonts w:asciiTheme="majorBidi" w:hAnsiTheme="majorBidi" w:cstheme="majorBidi"/>
          <w:i/>
          <w:iCs/>
        </w:rPr>
        <w:t>minimus</w:t>
      </w:r>
      <w:proofErr w:type="spellEnd"/>
      <w:r w:rsidRPr="006A4361">
        <w:rPr>
          <w:rFonts w:asciiTheme="majorBidi" w:hAnsiTheme="majorBidi" w:cstheme="majorBidi"/>
        </w:rPr>
        <w:t>; sample 50/1, Q44/4, 100X.</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10.</w:t>
      </w:r>
      <w:r w:rsidRPr="006A4361">
        <w:rPr>
          <w:rFonts w:asciiTheme="majorBidi" w:hAnsiTheme="majorBidi" w:cstheme="majorBidi"/>
        </w:rPr>
        <w:tab/>
      </w:r>
      <w:proofErr w:type="spellStart"/>
      <w:r w:rsidRPr="006A4361">
        <w:rPr>
          <w:rFonts w:asciiTheme="majorBidi" w:hAnsiTheme="majorBidi" w:cstheme="majorBidi"/>
          <w:i/>
          <w:iCs/>
        </w:rPr>
        <w:t>Ephedripites</w:t>
      </w:r>
      <w:proofErr w:type="spellEnd"/>
      <w:r w:rsidRPr="006A4361">
        <w:rPr>
          <w:rFonts w:asciiTheme="majorBidi" w:hAnsiTheme="majorBidi" w:cstheme="majorBidi"/>
          <w:b/>
          <w:bCs/>
          <w:i/>
          <w:iCs/>
        </w:rPr>
        <w:t xml:space="preserve"> </w:t>
      </w:r>
      <w:proofErr w:type="spellStart"/>
      <w:r w:rsidRPr="006A4361">
        <w:rPr>
          <w:rFonts w:asciiTheme="majorBidi" w:hAnsiTheme="majorBidi" w:cstheme="majorBidi"/>
          <w:i/>
          <w:iCs/>
        </w:rPr>
        <w:t>tortuosus</w:t>
      </w:r>
      <w:proofErr w:type="spellEnd"/>
      <w:r w:rsidRPr="006A4361">
        <w:rPr>
          <w:rFonts w:asciiTheme="majorBidi" w:hAnsiTheme="majorBidi" w:cstheme="majorBidi"/>
        </w:rPr>
        <w:t>; sample 51/1, D28/3, 100X.</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11.</w:t>
      </w:r>
      <w:r w:rsidRPr="006A4361">
        <w:rPr>
          <w:rFonts w:asciiTheme="majorBidi" w:hAnsiTheme="majorBidi" w:cstheme="majorBidi"/>
        </w:rPr>
        <w:tab/>
      </w:r>
      <w:proofErr w:type="spellStart"/>
      <w:r w:rsidRPr="006A4361">
        <w:rPr>
          <w:rFonts w:asciiTheme="majorBidi" w:hAnsiTheme="majorBidi" w:cstheme="majorBidi"/>
          <w:i/>
          <w:iCs/>
        </w:rPr>
        <w:t>Ephedripites</w:t>
      </w:r>
      <w:proofErr w:type="spellEnd"/>
      <w:r w:rsidRPr="006A4361">
        <w:rPr>
          <w:rFonts w:asciiTheme="majorBidi" w:hAnsiTheme="majorBidi" w:cstheme="majorBidi"/>
        </w:rPr>
        <w:t xml:space="preserve"> </w:t>
      </w:r>
      <w:proofErr w:type="spellStart"/>
      <w:r w:rsidRPr="006A4361">
        <w:rPr>
          <w:rFonts w:asciiTheme="majorBidi" w:hAnsiTheme="majorBidi" w:cstheme="majorBidi"/>
          <w:i/>
          <w:iCs/>
        </w:rPr>
        <w:t>regularis</w:t>
      </w:r>
      <w:proofErr w:type="spellEnd"/>
      <w:r w:rsidRPr="006A4361">
        <w:rPr>
          <w:rFonts w:asciiTheme="majorBidi" w:hAnsiTheme="majorBidi" w:cstheme="majorBidi"/>
        </w:rPr>
        <w:t>; sample 64/1, P27/4, 100X.</w:t>
      </w:r>
    </w:p>
    <w:p w:rsidR="00A56F2F" w:rsidRPr="008E4AA8" w:rsidRDefault="006A4361" w:rsidP="007852BD">
      <w:pPr>
        <w:spacing w:line="480" w:lineRule="auto"/>
        <w:rPr>
          <w:rFonts w:asciiTheme="majorBidi" w:hAnsiTheme="majorBidi" w:cstheme="majorBidi"/>
          <w:iCs/>
        </w:rPr>
      </w:pPr>
      <w:proofErr w:type="gramStart"/>
      <w:r w:rsidRPr="006A4361">
        <w:rPr>
          <w:rFonts w:asciiTheme="majorBidi" w:hAnsiTheme="majorBidi" w:cstheme="majorBidi"/>
        </w:rPr>
        <w:t>12.</w:t>
      </w:r>
      <w:r w:rsidRPr="006A4361">
        <w:rPr>
          <w:rFonts w:asciiTheme="majorBidi" w:hAnsiTheme="majorBidi" w:cstheme="majorBidi"/>
        </w:rPr>
        <w:tab/>
      </w:r>
      <w:proofErr w:type="spellStart"/>
      <w:r w:rsidRPr="006A4361">
        <w:rPr>
          <w:rFonts w:asciiTheme="majorBidi" w:hAnsiTheme="majorBidi" w:cstheme="majorBidi"/>
          <w:i/>
          <w:color w:val="000000"/>
        </w:rPr>
        <w:t>Foveotricolpites</w:t>
      </w:r>
      <w:proofErr w:type="spellEnd"/>
      <w:r w:rsidRPr="006A4361">
        <w:rPr>
          <w:rFonts w:asciiTheme="majorBidi" w:hAnsiTheme="majorBidi" w:cstheme="majorBidi"/>
          <w:iCs/>
          <w:color w:val="000000"/>
        </w:rPr>
        <w:t xml:space="preserve"> sp.; sample 50/1, Q46/2, 100X.</w:t>
      </w:r>
      <w:proofErr w:type="gramEnd"/>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13.</w:t>
      </w:r>
      <w:r w:rsidRPr="006A4361">
        <w:rPr>
          <w:rFonts w:asciiTheme="majorBidi" w:hAnsiTheme="majorBidi" w:cstheme="majorBidi"/>
        </w:rPr>
        <w:tab/>
      </w:r>
      <w:proofErr w:type="spellStart"/>
      <w:r w:rsidRPr="006A4361">
        <w:rPr>
          <w:rFonts w:asciiTheme="majorBidi" w:eastAsia="Cambria" w:hAnsiTheme="majorBidi" w:cstheme="majorBidi"/>
        </w:rPr>
        <w:t>Scolecodont</w:t>
      </w:r>
      <w:proofErr w:type="spellEnd"/>
      <w:r w:rsidRPr="006A4361">
        <w:rPr>
          <w:rFonts w:asciiTheme="majorBidi" w:eastAsia="Cambria" w:hAnsiTheme="majorBidi" w:cstheme="majorBidi"/>
        </w:rPr>
        <w:t xml:space="preserve"> fragment; sample 64/1, R34/0, 100X.</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14.</w:t>
      </w:r>
      <w:r w:rsidRPr="006A4361">
        <w:rPr>
          <w:rFonts w:asciiTheme="majorBidi" w:hAnsiTheme="majorBidi" w:cstheme="majorBidi"/>
        </w:rPr>
        <w:tab/>
        <w:t>Well preserved diffused edged AOM particle; sample 66/1kr, 40X.</w:t>
      </w:r>
    </w:p>
    <w:p w:rsidR="00A56F2F" w:rsidRPr="008E4AA8" w:rsidRDefault="006A4361" w:rsidP="007852BD">
      <w:pPr>
        <w:spacing w:line="480" w:lineRule="auto"/>
        <w:rPr>
          <w:rFonts w:asciiTheme="majorBidi" w:hAnsiTheme="majorBidi" w:cstheme="majorBidi"/>
        </w:rPr>
      </w:pPr>
      <w:proofErr w:type="gramStart"/>
      <w:r w:rsidRPr="006A4361">
        <w:rPr>
          <w:rFonts w:asciiTheme="majorBidi" w:hAnsiTheme="majorBidi" w:cstheme="majorBidi"/>
        </w:rPr>
        <w:t>15, 16.</w:t>
      </w:r>
      <w:proofErr w:type="gramEnd"/>
      <w:r w:rsidRPr="006A4361">
        <w:rPr>
          <w:rFonts w:asciiTheme="majorBidi" w:hAnsiTheme="majorBidi" w:cstheme="majorBidi"/>
        </w:rPr>
        <w:tab/>
        <w:t>Structured phytoclasts (cuticles); sample 49/1kr, 40X.</w:t>
      </w:r>
    </w:p>
    <w:p w:rsidR="00A56F2F" w:rsidRPr="008E4AA8" w:rsidRDefault="006A4361" w:rsidP="007852BD">
      <w:pPr>
        <w:spacing w:line="480" w:lineRule="auto"/>
        <w:rPr>
          <w:rFonts w:asciiTheme="majorBidi" w:hAnsiTheme="majorBidi" w:cstheme="majorBidi"/>
        </w:rPr>
      </w:pPr>
      <w:proofErr w:type="gramStart"/>
      <w:r w:rsidRPr="006A4361">
        <w:rPr>
          <w:rFonts w:asciiTheme="majorBidi" w:hAnsiTheme="majorBidi" w:cstheme="majorBidi"/>
        </w:rPr>
        <w:t>17, 18.</w:t>
      </w:r>
      <w:proofErr w:type="gramEnd"/>
      <w:r w:rsidRPr="006A4361">
        <w:rPr>
          <w:rFonts w:asciiTheme="majorBidi" w:hAnsiTheme="majorBidi" w:cstheme="majorBidi"/>
        </w:rPr>
        <w:tab/>
        <w:t>Dark brown structured phytoclasts (</w:t>
      </w:r>
      <w:proofErr w:type="spellStart"/>
      <w:r w:rsidRPr="006A4361">
        <w:rPr>
          <w:rFonts w:asciiTheme="majorBidi" w:hAnsiTheme="majorBidi" w:cstheme="majorBidi"/>
        </w:rPr>
        <w:t>tracheids</w:t>
      </w:r>
      <w:proofErr w:type="spellEnd"/>
      <w:r w:rsidRPr="006A4361">
        <w:rPr>
          <w:rFonts w:asciiTheme="majorBidi" w:hAnsiTheme="majorBidi" w:cstheme="majorBidi"/>
        </w:rPr>
        <w:t>); samples 50/1kr and 49/1kr respectively, 40X.</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19.</w:t>
      </w:r>
      <w:r w:rsidRPr="006A4361">
        <w:rPr>
          <w:rFonts w:asciiTheme="majorBidi" w:hAnsiTheme="majorBidi" w:cstheme="majorBidi"/>
        </w:rPr>
        <w:tab/>
        <w:t>Opaque phytoclast; sample 49/1kr, 40X.</w:t>
      </w:r>
    </w:p>
    <w:p w:rsidR="00A56F2F" w:rsidRPr="008E4AA8" w:rsidRDefault="006A4361" w:rsidP="007852BD">
      <w:pPr>
        <w:spacing w:line="480" w:lineRule="auto"/>
        <w:rPr>
          <w:rFonts w:asciiTheme="majorBidi" w:hAnsiTheme="majorBidi" w:cstheme="majorBidi"/>
        </w:rPr>
      </w:pPr>
      <w:r w:rsidRPr="006A4361">
        <w:rPr>
          <w:rFonts w:asciiTheme="majorBidi" w:hAnsiTheme="majorBidi" w:cstheme="majorBidi"/>
        </w:rPr>
        <w:t>20.</w:t>
      </w:r>
      <w:r w:rsidRPr="006A4361">
        <w:rPr>
          <w:rFonts w:asciiTheme="majorBidi" w:hAnsiTheme="majorBidi" w:cstheme="majorBidi"/>
        </w:rPr>
        <w:tab/>
        <w:t>Abundant AOM facies; sample 66/1kr, 20X; scale bar equals 50 µm.</w:t>
      </w:r>
    </w:p>
    <w:p w:rsidR="00A56F2F" w:rsidRDefault="006A4361" w:rsidP="007852BD">
      <w:pPr>
        <w:spacing w:line="480" w:lineRule="auto"/>
        <w:rPr>
          <w:rFonts w:asciiTheme="majorBidi" w:hAnsiTheme="majorBidi" w:cstheme="majorBidi"/>
        </w:rPr>
      </w:pPr>
      <w:r w:rsidRPr="006A4361">
        <w:rPr>
          <w:rFonts w:asciiTheme="majorBidi" w:hAnsiTheme="majorBidi" w:cstheme="majorBidi"/>
        </w:rPr>
        <w:t>21.</w:t>
      </w:r>
      <w:r w:rsidRPr="006A4361">
        <w:rPr>
          <w:rFonts w:asciiTheme="majorBidi" w:hAnsiTheme="majorBidi" w:cstheme="majorBidi"/>
        </w:rPr>
        <w:tab/>
        <w:t>AOM and phytoclast facies; sample 49/1kr, 20X; scale bar equals 50 µm.</w:t>
      </w:r>
    </w:p>
    <w:p w:rsidR="006D6361" w:rsidRDefault="006D6361" w:rsidP="007852BD">
      <w:pPr>
        <w:spacing w:line="480" w:lineRule="auto"/>
        <w:rPr>
          <w:rFonts w:asciiTheme="majorBidi" w:hAnsiTheme="majorBidi" w:cstheme="majorBidi"/>
        </w:rPr>
      </w:pPr>
    </w:p>
    <w:p w:rsidR="006D6361" w:rsidRDefault="006A4361" w:rsidP="007852BD">
      <w:pPr>
        <w:spacing w:line="480" w:lineRule="auto"/>
        <w:rPr>
          <w:rFonts w:asciiTheme="majorBidi" w:hAnsiTheme="majorBidi" w:cstheme="majorBidi"/>
          <w:b/>
          <w:bCs/>
        </w:rPr>
      </w:pPr>
      <w:r w:rsidRPr="006A4361">
        <w:rPr>
          <w:rFonts w:asciiTheme="majorBidi" w:hAnsiTheme="majorBidi" w:cstheme="majorBidi"/>
          <w:b/>
          <w:bCs/>
        </w:rPr>
        <w:t>Appendix</w:t>
      </w:r>
    </w:p>
    <w:p w:rsidR="006D6361" w:rsidRPr="006D6361" w:rsidRDefault="006A4361" w:rsidP="007852BD">
      <w:pPr>
        <w:spacing w:line="480" w:lineRule="auto"/>
        <w:rPr>
          <w:rFonts w:asciiTheme="majorBidi" w:hAnsiTheme="majorBidi" w:cstheme="majorBidi"/>
        </w:rPr>
      </w:pPr>
      <w:r w:rsidRPr="006A4361">
        <w:rPr>
          <w:rFonts w:asciiTheme="majorBidi" w:hAnsiTheme="majorBidi" w:cstheme="majorBidi"/>
        </w:rPr>
        <w:t>Table 1</w:t>
      </w:r>
      <w:r w:rsidR="006D6361">
        <w:rPr>
          <w:rFonts w:asciiTheme="majorBidi" w:hAnsiTheme="majorBidi" w:cstheme="majorBidi"/>
        </w:rPr>
        <w:t xml:space="preserve">. </w:t>
      </w:r>
      <w:r w:rsidR="006313C2">
        <w:rPr>
          <w:rFonts w:asciiTheme="majorBidi" w:hAnsiTheme="majorBidi" w:cstheme="majorBidi"/>
        </w:rPr>
        <w:t xml:space="preserve">Palynofacies and geochemical data presented in </w:t>
      </w:r>
      <w:r w:rsidR="005E70D9">
        <w:rPr>
          <w:rFonts w:asciiTheme="majorBidi" w:hAnsiTheme="majorBidi" w:cstheme="majorBidi"/>
        </w:rPr>
        <w:t>F</w:t>
      </w:r>
      <w:bookmarkStart w:id="0" w:name="_GoBack"/>
      <w:bookmarkEnd w:id="0"/>
      <w:r w:rsidR="006313C2">
        <w:rPr>
          <w:rFonts w:asciiTheme="majorBidi" w:hAnsiTheme="majorBidi" w:cstheme="majorBidi"/>
        </w:rPr>
        <w:t>igure 3.</w:t>
      </w:r>
    </w:p>
    <w:sectPr w:rsidR="006D6361" w:rsidRPr="006D6361" w:rsidSect="008074FD">
      <w:headerReference w:type="even" r:id="rId8"/>
      <w:headerReference w:type="default" r:id="rId9"/>
      <w:pgSz w:w="12240" w:h="15840"/>
      <w:pgMar w:top="1440" w:right="1440" w:bottom="1440" w:left="1440" w:header="720" w:footer="720" w:gutter="0"/>
      <w:lnNumType w:countBy="1" w:restart="continuous"/>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9C9" w:rsidRDefault="009879C9" w:rsidP="006C6A82">
      <w:r>
        <w:separator/>
      </w:r>
    </w:p>
  </w:endnote>
  <w:endnote w:type="continuationSeparator" w:id="0">
    <w:p w:rsidR="009879C9" w:rsidRDefault="009879C9" w:rsidP="006C6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9C9" w:rsidRDefault="009879C9" w:rsidP="006C6A82">
      <w:r>
        <w:separator/>
      </w:r>
    </w:p>
  </w:footnote>
  <w:footnote w:type="continuationSeparator" w:id="0">
    <w:p w:rsidR="009879C9" w:rsidRDefault="009879C9" w:rsidP="006C6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C0" w:rsidRDefault="00687BD6" w:rsidP="00E82021">
    <w:pPr>
      <w:pStyle w:val="Header"/>
      <w:framePr w:wrap="around" w:vAnchor="text" w:hAnchor="margin" w:xAlign="right" w:y="1"/>
      <w:rPr>
        <w:rStyle w:val="PageNumber"/>
      </w:rPr>
    </w:pPr>
    <w:r>
      <w:rPr>
        <w:rStyle w:val="PageNumber"/>
      </w:rPr>
      <w:fldChar w:fldCharType="begin"/>
    </w:r>
    <w:r w:rsidR="00360EC0">
      <w:rPr>
        <w:rStyle w:val="PageNumber"/>
      </w:rPr>
      <w:instrText xml:space="preserve">PAGE  </w:instrText>
    </w:r>
    <w:r>
      <w:rPr>
        <w:rStyle w:val="PageNumber"/>
      </w:rPr>
      <w:fldChar w:fldCharType="end"/>
    </w:r>
  </w:p>
  <w:p w:rsidR="00360EC0" w:rsidRDefault="00360EC0" w:rsidP="00DB4D8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C0" w:rsidRDefault="00687BD6" w:rsidP="00E82021">
    <w:pPr>
      <w:pStyle w:val="Header"/>
      <w:framePr w:wrap="around" w:vAnchor="text" w:hAnchor="margin" w:xAlign="right" w:y="1"/>
      <w:rPr>
        <w:rStyle w:val="PageNumber"/>
      </w:rPr>
    </w:pPr>
    <w:r>
      <w:rPr>
        <w:rStyle w:val="PageNumber"/>
      </w:rPr>
      <w:fldChar w:fldCharType="begin"/>
    </w:r>
    <w:r w:rsidR="00360EC0">
      <w:rPr>
        <w:rStyle w:val="PageNumber"/>
      </w:rPr>
      <w:instrText xml:space="preserve">PAGE  </w:instrText>
    </w:r>
    <w:r>
      <w:rPr>
        <w:rStyle w:val="PageNumber"/>
      </w:rPr>
      <w:fldChar w:fldCharType="separate"/>
    </w:r>
    <w:r w:rsidR="00A1024A">
      <w:rPr>
        <w:rStyle w:val="PageNumber"/>
        <w:noProof/>
      </w:rPr>
      <w:t>18</w:t>
    </w:r>
    <w:r>
      <w:rPr>
        <w:rStyle w:val="PageNumber"/>
      </w:rPr>
      <w:fldChar w:fldCharType="end"/>
    </w:r>
  </w:p>
  <w:p w:rsidR="00360EC0" w:rsidRDefault="00360EC0" w:rsidP="00DB4D8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B1FD6"/>
    <w:multiLevelType w:val="hybridMultilevel"/>
    <w:tmpl w:val="04BE701A"/>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D52ED"/>
    <w:rsid w:val="00000946"/>
    <w:rsid w:val="00001488"/>
    <w:rsid w:val="00002625"/>
    <w:rsid w:val="0000483E"/>
    <w:rsid w:val="0000528D"/>
    <w:rsid w:val="0001034C"/>
    <w:rsid w:val="0001597B"/>
    <w:rsid w:val="0001613E"/>
    <w:rsid w:val="000166B3"/>
    <w:rsid w:val="00020BD4"/>
    <w:rsid w:val="00022F62"/>
    <w:rsid w:val="00024409"/>
    <w:rsid w:val="00024999"/>
    <w:rsid w:val="0002506D"/>
    <w:rsid w:val="00031AFC"/>
    <w:rsid w:val="00031ED7"/>
    <w:rsid w:val="000328E6"/>
    <w:rsid w:val="00034609"/>
    <w:rsid w:val="000356A0"/>
    <w:rsid w:val="00036E46"/>
    <w:rsid w:val="000448D9"/>
    <w:rsid w:val="00050B65"/>
    <w:rsid w:val="0005182F"/>
    <w:rsid w:val="00052CAD"/>
    <w:rsid w:val="000667E7"/>
    <w:rsid w:val="000709A6"/>
    <w:rsid w:val="00070FCE"/>
    <w:rsid w:val="00071AB4"/>
    <w:rsid w:val="00072987"/>
    <w:rsid w:val="00072D25"/>
    <w:rsid w:val="00072F67"/>
    <w:rsid w:val="00074DCF"/>
    <w:rsid w:val="00076E4E"/>
    <w:rsid w:val="00077110"/>
    <w:rsid w:val="00081063"/>
    <w:rsid w:val="0008693B"/>
    <w:rsid w:val="000917AE"/>
    <w:rsid w:val="0009263F"/>
    <w:rsid w:val="00096D66"/>
    <w:rsid w:val="000A14C0"/>
    <w:rsid w:val="000A188E"/>
    <w:rsid w:val="000A4404"/>
    <w:rsid w:val="000A4BF9"/>
    <w:rsid w:val="000A4C19"/>
    <w:rsid w:val="000A537E"/>
    <w:rsid w:val="000A7D9B"/>
    <w:rsid w:val="000B6159"/>
    <w:rsid w:val="000C2A45"/>
    <w:rsid w:val="000C328B"/>
    <w:rsid w:val="000C4A59"/>
    <w:rsid w:val="000C7CE2"/>
    <w:rsid w:val="000D0EFC"/>
    <w:rsid w:val="000D211F"/>
    <w:rsid w:val="000D26BE"/>
    <w:rsid w:val="000E1E70"/>
    <w:rsid w:val="000E2FCF"/>
    <w:rsid w:val="000E7740"/>
    <w:rsid w:val="000E78DC"/>
    <w:rsid w:val="000F044F"/>
    <w:rsid w:val="000F1225"/>
    <w:rsid w:val="000F2E2D"/>
    <w:rsid w:val="000F75E3"/>
    <w:rsid w:val="000F7A6C"/>
    <w:rsid w:val="00101F8A"/>
    <w:rsid w:val="001070B1"/>
    <w:rsid w:val="001100DD"/>
    <w:rsid w:val="001118F1"/>
    <w:rsid w:val="001120F4"/>
    <w:rsid w:val="00112B05"/>
    <w:rsid w:val="00113179"/>
    <w:rsid w:val="00116E6C"/>
    <w:rsid w:val="001170C1"/>
    <w:rsid w:val="001174EB"/>
    <w:rsid w:val="00121107"/>
    <w:rsid w:val="001222FC"/>
    <w:rsid w:val="00125323"/>
    <w:rsid w:val="00125977"/>
    <w:rsid w:val="00133F2D"/>
    <w:rsid w:val="00136CE2"/>
    <w:rsid w:val="001400A5"/>
    <w:rsid w:val="00144108"/>
    <w:rsid w:val="00145BEA"/>
    <w:rsid w:val="00152B1B"/>
    <w:rsid w:val="0015368A"/>
    <w:rsid w:val="0015485E"/>
    <w:rsid w:val="00157008"/>
    <w:rsid w:val="00157091"/>
    <w:rsid w:val="0016061A"/>
    <w:rsid w:val="001608EB"/>
    <w:rsid w:val="00162052"/>
    <w:rsid w:val="001623D6"/>
    <w:rsid w:val="00162E13"/>
    <w:rsid w:val="001631BA"/>
    <w:rsid w:val="00164407"/>
    <w:rsid w:val="0016603D"/>
    <w:rsid w:val="001679D5"/>
    <w:rsid w:val="001718A9"/>
    <w:rsid w:val="00176C2B"/>
    <w:rsid w:val="00180A8D"/>
    <w:rsid w:val="00180A90"/>
    <w:rsid w:val="00180F73"/>
    <w:rsid w:val="00183945"/>
    <w:rsid w:val="00186BE2"/>
    <w:rsid w:val="001A0ECB"/>
    <w:rsid w:val="001A1295"/>
    <w:rsid w:val="001A12C0"/>
    <w:rsid w:val="001A4FC0"/>
    <w:rsid w:val="001A63AD"/>
    <w:rsid w:val="001B18C7"/>
    <w:rsid w:val="001C0E1E"/>
    <w:rsid w:val="001C21CC"/>
    <w:rsid w:val="001C4CD9"/>
    <w:rsid w:val="001C59F8"/>
    <w:rsid w:val="001C6235"/>
    <w:rsid w:val="001D2776"/>
    <w:rsid w:val="001D3847"/>
    <w:rsid w:val="001D7CAA"/>
    <w:rsid w:val="001E1B1E"/>
    <w:rsid w:val="001E3E41"/>
    <w:rsid w:val="001E5BAC"/>
    <w:rsid w:val="001F59D8"/>
    <w:rsid w:val="001F5E81"/>
    <w:rsid w:val="001F6BFA"/>
    <w:rsid w:val="001F6D27"/>
    <w:rsid w:val="001F6DA8"/>
    <w:rsid w:val="001F77AD"/>
    <w:rsid w:val="00202E7F"/>
    <w:rsid w:val="002051F6"/>
    <w:rsid w:val="00207C2A"/>
    <w:rsid w:val="00214FB1"/>
    <w:rsid w:val="00215397"/>
    <w:rsid w:val="00215455"/>
    <w:rsid w:val="002162C7"/>
    <w:rsid w:val="00217C09"/>
    <w:rsid w:val="0022085F"/>
    <w:rsid w:val="00222E7A"/>
    <w:rsid w:val="00223337"/>
    <w:rsid w:val="002242DE"/>
    <w:rsid w:val="00225B3E"/>
    <w:rsid w:val="002268E2"/>
    <w:rsid w:val="00227118"/>
    <w:rsid w:val="0023003C"/>
    <w:rsid w:val="002326C1"/>
    <w:rsid w:val="00234626"/>
    <w:rsid w:val="00236365"/>
    <w:rsid w:val="00236C98"/>
    <w:rsid w:val="00237CA0"/>
    <w:rsid w:val="00237EDA"/>
    <w:rsid w:val="00242897"/>
    <w:rsid w:val="002433B2"/>
    <w:rsid w:val="0024503C"/>
    <w:rsid w:val="00245204"/>
    <w:rsid w:val="00245873"/>
    <w:rsid w:val="0025441F"/>
    <w:rsid w:val="002562E9"/>
    <w:rsid w:val="00260435"/>
    <w:rsid w:val="002715B6"/>
    <w:rsid w:val="002722B2"/>
    <w:rsid w:val="002731C4"/>
    <w:rsid w:val="0027341D"/>
    <w:rsid w:val="00273D53"/>
    <w:rsid w:val="00276C93"/>
    <w:rsid w:val="00281191"/>
    <w:rsid w:val="002818C8"/>
    <w:rsid w:val="0028372C"/>
    <w:rsid w:val="002943E2"/>
    <w:rsid w:val="00294C1A"/>
    <w:rsid w:val="002A343B"/>
    <w:rsid w:val="002A7D1A"/>
    <w:rsid w:val="002B13C8"/>
    <w:rsid w:val="002B3925"/>
    <w:rsid w:val="002B4C86"/>
    <w:rsid w:val="002B503A"/>
    <w:rsid w:val="002C7C7C"/>
    <w:rsid w:val="002D0D7C"/>
    <w:rsid w:val="002D1704"/>
    <w:rsid w:val="002D2AF6"/>
    <w:rsid w:val="002D4EC6"/>
    <w:rsid w:val="002D60DD"/>
    <w:rsid w:val="002D6D75"/>
    <w:rsid w:val="002E2F21"/>
    <w:rsid w:val="002F574C"/>
    <w:rsid w:val="0030454B"/>
    <w:rsid w:val="00304EA1"/>
    <w:rsid w:val="00306C27"/>
    <w:rsid w:val="00311497"/>
    <w:rsid w:val="0031243A"/>
    <w:rsid w:val="003140A7"/>
    <w:rsid w:val="003223FD"/>
    <w:rsid w:val="00322D6A"/>
    <w:rsid w:val="00323DD4"/>
    <w:rsid w:val="003314B0"/>
    <w:rsid w:val="00333595"/>
    <w:rsid w:val="00333C35"/>
    <w:rsid w:val="003340CD"/>
    <w:rsid w:val="00334B87"/>
    <w:rsid w:val="00336816"/>
    <w:rsid w:val="003379C9"/>
    <w:rsid w:val="00342C71"/>
    <w:rsid w:val="00343BF4"/>
    <w:rsid w:val="003473E8"/>
    <w:rsid w:val="003507E7"/>
    <w:rsid w:val="00353F26"/>
    <w:rsid w:val="00360C4D"/>
    <w:rsid w:val="00360EC0"/>
    <w:rsid w:val="003619BF"/>
    <w:rsid w:val="0036446C"/>
    <w:rsid w:val="003716ED"/>
    <w:rsid w:val="00373605"/>
    <w:rsid w:val="00375B70"/>
    <w:rsid w:val="00380877"/>
    <w:rsid w:val="00385522"/>
    <w:rsid w:val="003904E8"/>
    <w:rsid w:val="003A05B5"/>
    <w:rsid w:val="003B17E3"/>
    <w:rsid w:val="003B331F"/>
    <w:rsid w:val="003B33B9"/>
    <w:rsid w:val="003C2BB4"/>
    <w:rsid w:val="003C5E4F"/>
    <w:rsid w:val="003C6AC1"/>
    <w:rsid w:val="003D0760"/>
    <w:rsid w:val="003D23C1"/>
    <w:rsid w:val="003D2DEF"/>
    <w:rsid w:val="003D45AC"/>
    <w:rsid w:val="003E1BA1"/>
    <w:rsid w:val="003E3AAD"/>
    <w:rsid w:val="003E58A5"/>
    <w:rsid w:val="003E5C35"/>
    <w:rsid w:val="003E61CF"/>
    <w:rsid w:val="003F1597"/>
    <w:rsid w:val="003F291E"/>
    <w:rsid w:val="003F7BEE"/>
    <w:rsid w:val="00401F10"/>
    <w:rsid w:val="00403943"/>
    <w:rsid w:val="00404DC4"/>
    <w:rsid w:val="004106FE"/>
    <w:rsid w:val="00416D83"/>
    <w:rsid w:val="00416F0E"/>
    <w:rsid w:val="004214FB"/>
    <w:rsid w:val="00424351"/>
    <w:rsid w:val="0043154C"/>
    <w:rsid w:val="004315A4"/>
    <w:rsid w:val="00433D19"/>
    <w:rsid w:val="004361C1"/>
    <w:rsid w:val="00437EEF"/>
    <w:rsid w:val="00440CE8"/>
    <w:rsid w:val="00445DB9"/>
    <w:rsid w:val="004500C7"/>
    <w:rsid w:val="004507F7"/>
    <w:rsid w:val="004510EC"/>
    <w:rsid w:val="00451FE9"/>
    <w:rsid w:val="0045285F"/>
    <w:rsid w:val="00452885"/>
    <w:rsid w:val="00452C21"/>
    <w:rsid w:val="00453B93"/>
    <w:rsid w:val="00454F63"/>
    <w:rsid w:val="00455DA6"/>
    <w:rsid w:val="00460FCB"/>
    <w:rsid w:val="00461631"/>
    <w:rsid w:val="00464B62"/>
    <w:rsid w:val="00464C77"/>
    <w:rsid w:val="00465413"/>
    <w:rsid w:val="00467A5B"/>
    <w:rsid w:val="004710FB"/>
    <w:rsid w:val="00474176"/>
    <w:rsid w:val="004763C7"/>
    <w:rsid w:val="00480FA6"/>
    <w:rsid w:val="00481116"/>
    <w:rsid w:val="004811A2"/>
    <w:rsid w:val="00484F6A"/>
    <w:rsid w:val="004863DF"/>
    <w:rsid w:val="00486B5B"/>
    <w:rsid w:val="00487804"/>
    <w:rsid w:val="00491379"/>
    <w:rsid w:val="0049570E"/>
    <w:rsid w:val="004958C4"/>
    <w:rsid w:val="004A2243"/>
    <w:rsid w:val="004A4222"/>
    <w:rsid w:val="004B0E85"/>
    <w:rsid w:val="004B1B90"/>
    <w:rsid w:val="004B2E9F"/>
    <w:rsid w:val="004B46AC"/>
    <w:rsid w:val="004C1C71"/>
    <w:rsid w:val="004C29B6"/>
    <w:rsid w:val="004C3B8D"/>
    <w:rsid w:val="004D09A9"/>
    <w:rsid w:val="004D3C06"/>
    <w:rsid w:val="004D44CD"/>
    <w:rsid w:val="004D4A07"/>
    <w:rsid w:val="004D5E54"/>
    <w:rsid w:val="004D6225"/>
    <w:rsid w:val="004E29F7"/>
    <w:rsid w:val="004E4528"/>
    <w:rsid w:val="004F0B3F"/>
    <w:rsid w:val="004F2264"/>
    <w:rsid w:val="004F2E3E"/>
    <w:rsid w:val="004F3AD7"/>
    <w:rsid w:val="004F50E3"/>
    <w:rsid w:val="004F53B2"/>
    <w:rsid w:val="004F5E9C"/>
    <w:rsid w:val="00501B9F"/>
    <w:rsid w:val="00506BF7"/>
    <w:rsid w:val="00507768"/>
    <w:rsid w:val="005104B6"/>
    <w:rsid w:val="00510E44"/>
    <w:rsid w:val="00514DEC"/>
    <w:rsid w:val="005236EC"/>
    <w:rsid w:val="00526A81"/>
    <w:rsid w:val="00526FC9"/>
    <w:rsid w:val="00530B35"/>
    <w:rsid w:val="00531B89"/>
    <w:rsid w:val="00532EE1"/>
    <w:rsid w:val="00534B79"/>
    <w:rsid w:val="00534DDD"/>
    <w:rsid w:val="00535A4A"/>
    <w:rsid w:val="005412EA"/>
    <w:rsid w:val="00541943"/>
    <w:rsid w:val="005435B2"/>
    <w:rsid w:val="0054458D"/>
    <w:rsid w:val="00544726"/>
    <w:rsid w:val="005467F6"/>
    <w:rsid w:val="00551DC9"/>
    <w:rsid w:val="005522AE"/>
    <w:rsid w:val="00553AA2"/>
    <w:rsid w:val="00554FB9"/>
    <w:rsid w:val="00555DD2"/>
    <w:rsid w:val="00555EAE"/>
    <w:rsid w:val="0055773C"/>
    <w:rsid w:val="00561800"/>
    <w:rsid w:val="00561B86"/>
    <w:rsid w:val="005625D0"/>
    <w:rsid w:val="0056426C"/>
    <w:rsid w:val="005663D7"/>
    <w:rsid w:val="00567358"/>
    <w:rsid w:val="00567A85"/>
    <w:rsid w:val="00574E72"/>
    <w:rsid w:val="0057744F"/>
    <w:rsid w:val="00580074"/>
    <w:rsid w:val="00580DA7"/>
    <w:rsid w:val="00581B12"/>
    <w:rsid w:val="005913F2"/>
    <w:rsid w:val="0059679F"/>
    <w:rsid w:val="00597A92"/>
    <w:rsid w:val="005A248F"/>
    <w:rsid w:val="005B08AE"/>
    <w:rsid w:val="005B3CEC"/>
    <w:rsid w:val="005B5755"/>
    <w:rsid w:val="005B5AF6"/>
    <w:rsid w:val="005B67B6"/>
    <w:rsid w:val="005C0109"/>
    <w:rsid w:val="005C084A"/>
    <w:rsid w:val="005C0C2E"/>
    <w:rsid w:val="005C1B61"/>
    <w:rsid w:val="005C1FD0"/>
    <w:rsid w:val="005C63A9"/>
    <w:rsid w:val="005C6D51"/>
    <w:rsid w:val="005C7E26"/>
    <w:rsid w:val="005D108E"/>
    <w:rsid w:val="005D621C"/>
    <w:rsid w:val="005D7D61"/>
    <w:rsid w:val="005E6657"/>
    <w:rsid w:val="005E6F9C"/>
    <w:rsid w:val="005E7053"/>
    <w:rsid w:val="005E70D9"/>
    <w:rsid w:val="005E78D3"/>
    <w:rsid w:val="005E7BCC"/>
    <w:rsid w:val="005F0BDB"/>
    <w:rsid w:val="005F1346"/>
    <w:rsid w:val="005F67A3"/>
    <w:rsid w:val="00600710"/>
    <w:rsid w:val="006022D2"/>
    <w:rsid w:val="006128B4"/>
    <w:rsid w:val="006128DE"/>
    <w:rsid w:val="00613D66"/>
    <w:rsid w:val="006156E6"/>
    <w:rsid w:val="00616D25"/>
    <w:rsid w:val="00616D44"/>
    <w:rsid w:val="0062100D"/>
    <w:rsid w:val="00621FAB"/>
    <w:rsid w:val="00622315"/>
    <w:rsid w:val="00624F20"/>
    <w:rsid w:val="00624F51"/>
    <w:rsid w:val="00626D6D"/>
    <w:rsid w:val="006313C2"/>
    <w:rsid w:val="00633AD3"/>
    <w:rsid w:val="00634AB3"/>
    <w:rsid w:val="00634AD0"/>
    <w:rsid w:val="00635F70"/>
    <w:rsid w:val="00636579"/>
    <w:rsid w:val="00641FAD"/>
    <w:rsid w:val="00643081"/>
    <w:rsid w:val="00644D6D"/>
    <w:rsid w:val="0064500E"/>
    <w:rsid w:val="00645521"/>
    <w:rsid w:val="00647037"/>
    <w:rsid w:val="0065102C"/>
    <w:rsid w:val="006511D7"/>
    <w:rsid w:val="00654E9C"/>
    <w:rsid w:val="00655672"/>
    <w:rsid w:val="0066192E"/>
    <w:rsid w:val="006635E9"/>
    <w:rsid w:val="00663BE6"/>
    <w:rsid w:val="00664680"/>
    <w:rsid w:val="00665476"/>
    <w:rsid w:val="00671D04"/>
    <w:rsid w:val="00674B4B"/>
    <w:rsid w:val="00684953"/>
    <w:rsid w:val="006876F9"/>
    <w:rsid w:val="00687790"/>
    <w:rsid w:val="00687BD6"/>
    <w:rsid w:val="0069158B"/>
    <w:rsid w:val="0069319E"/>
    <w:rsid w:val="0069567A"/>
    <w:rsid w:val="00696421"/>
    <w:rsid w:val="006A1AAC"/>
    <w:rsid w:val="006A210A"/>
    <w:rsid w:val="006A4361"/>
    <w:rsid w:val="006B5740"/>
    <w:rsid w:val="006B688A"/>
    <w:rsid w:val="006B6D1A"/>
    <w:rsid w:val="006C680B"/>
    <w:rsid w:val="006C6A82"/>
    <w:rsid w:val="006C6F99"/>
    <w:rsid w:val="006C798F"/>
    <w:rsid w:val="006C7E27"/>
    <w:rsid w:val="006D002C"/>
    <w:rsid w:val="006D1492"/>
    <w:rsid w:val="006D1555"/>
    <w:rsid w:val="006D236C"/>
    <w:rsid w:val="006D4D79"/>
    <w:rsid w:val="006D6361"/>
    <w:rsid w:val="006D691D"/>
    <w:rsid w:val="006E27D9"/>
    <w:rsid w:val="006E2B6E"/>
    <w:rsid w:val="006F01B4"/>
    <w:rsid w:val="006F083B"/>
    <w:rsid w:val="006F1860"/>
    <w:rsid w:val="006F2A98"/>
    <w:rsid w:val="006F3E80"/>
    <w:rsid w:val="006F465E"/>
    <w:rsid w:val="006F532C"/>
    <w:rsid w:val="006F6613"/>
    <w:rsid w:val="00700AC2"/>
    <w:rsid w:val="00701D2C"/>
    <w:rsid w:val="00704053"/>
    <w:rsid w:val="007057A2"/>
    <w:rsid w:val="00705B0E"/>
    <w:rsid w:val="0070690F"/>
    <w:rsid w:val="00710E43"/>
    <w:rsid w:val="00716A12"/>
    <w:rsid w:val="00723791"/>
    <w:rsid w:val="00724CAF"/>
    <w:rsid w:val="007260B2"/>
    <w:rsid w:val="00727395"/>
    <w:rsid w:val="00731C07"/>
    <w:rsid w:val="00735284"/>
    <w:rsid w:val="007372C6"/>
    <w:rsid w:val="00737785"/>
    <w:rsid w:val="007405EC"/>
    <w:rsid w:val="00740738"/>
    <w:rsid w:val="00742D84"/>
    <w:rsid w:val="00743EAF"/>
    <w:rsid w:val="0074618B"/>
    <w:rsid w:val="007476FF"/>
    <w:rsid w:val="00754118"/>
    <w:rsid w:val="00754F13"/>
    <w:rsid w:val="00755D71"/>
    <w:rsid w:val="0075611B"/>
    <w:rsid w:val="00756DC9"/>
    <w:rsid w:val="007665C3"/>
    <w:rsid w:val="007674E7"/>
    <w:rsid w:val="007710A6"/>
    <w:rsid w:val="00771AEF"/>
    <w:rsid w:val="00772459"/>
    <w:rsid w:val="00772AD0"/>
    <w:rsid w:val="00773D56"/>
    <w:rsid w:val="0078242D"/>
    <w:rsid w:val="0078478C"/>
    <w:rsid w:val="007850E3"/>
    <w:rsid w:val="007852BD"/>
    <w:rsid w:val="007862F8"/>
    <w:rsid w:val="0078745E"/>
    <w:rsid w:val="007879F4"/>
    <w:rsid w:val="00793B85"/>
    <w:rsid w:val="007A179D"/>
    <w:rsid w:val="007A2D59"/>
    <w:rsid w:val="007A72CE"/>
    <w:rsid w:val="007B4F6B"/>
    <w:rsid w:val="007B500E"/>
    <w:rsid w:val="007B59D1"/>
    <w:rsid w:val="007B5A1F"/>
    <w:rsid w:val="007B5FF7"/>
    <w:rsid w:val="007C18BA"/>
    <w:rsid w:val="007C314F"/>
    <w:rsid w:val="007C6556"/>
    <w:rsid w:val="007D0971"/>
    <w:rsid w:val="007D36B3"/>
    <w:rsid w:val="007D4D19"/>
    <w:rsid w:val="007D5729"/>
    <w:rsid w:val="007D7A72"/>
    <w:rsid w:val="007E0DA1"/>
    <w:rsid w:val="007E651F"/>
    <w:rsid w:val="007E67BA"/>
    <w:rsid w:val="007F149E"/>
    <w:rsid w:val="007F2C3F"/>
    <w:rsid w:val="007F3078"/>
    <w:rsid w:val="008010D4"/>
    <w:rsid w:val="00801CA6"/>
    <w:rsid w:val="008022AC"/>
    <w:rsid w:val="00802845"/>
    <w:rsid w:val="0080638A"/>
    <w:rsid w:val="00806BC0"/>
    <w:rsid w:val="008074FD"/>
    <w:rsid w:val="00807589"/>
    <w:rsid w:val="00810BA0"/>
    <w:rsid w:val="00812592"/>
    <w:rsid w:val="00812D46"/>
    <w:rsid w:val="008155B9"/>
    <w:rsid w:val="00815B23"/>
    <w:rsid w:val="0081671B"/>
    <w:rsid w:val="008175A9"/>
    <w:rsid w:val="00821305"/>
    <w:rsid w:val="00823754"/>
    <w:rsid w:val="00823BC1"/>
    <w:rsid w:val="00825655"/>
    <w:rsid w:val="0082626C"/>
    <w:rsid w:val="00830167"/>
    <w:rsid w:val="0083066E"/>
    <w:rsid w:val="0083096E"/>
    <w:rsid w:val="00831AD1"/>
    <w:rsid w:val="00831CBE"/>
    <w:rsid w:val="00831EC6"/>
    <w:rsid w:val="008325B3"/>
    <w:rsid w:val="00833EF2"/>
    <w:rsid w:val="00837A73"/>
    <w:rsid w:val="00840907"/>
    <w:rsid w:val="008467CC"/>
    <w:rsid w:val="00850139"/>
    <w:rsid w:val="00852153"/>
    <w:rsid w:val="00852B5B"/>
    <w:rsid w:val="00855313"/>
    <w:rsid w:val="0085652A"/>
    <w:rsid w:val="00862341"/>
    <w:rsid w:val="00863074"/>
    <w:rsid w:val="00864A47"/>
    <w:rsid w:val="00867F36"/>
    <w:rsid w:val="0087257C"/>
    <w:rsid w:val="0087289D"/>
    <w:rsid w:val="008739EA"/>
    <w:rsid w:val="008747DF"/>
    <w:rsid w:val="00876814"/>
    <w:rsid w:val="008779EA"/>
    <w:rsid w:val="00882840"/>
    <w:rsid w:val="008838C6"/>
    <w:rsid w:val="008910F2"/>
    <w:rsid w:val="00894942"/>
    <w:rsid w:val="00895524"/>
    <w:rsid w:val="00897283"/>
    <w:rsid w:val="008A0C5B"/>
    <w:rsid w:val="008A2736"/>
    <w:rsid w:val="008A3011"/>
    <w:rsid w:val="008A3895"/>
    <w:rsid w:val="008A6577"/>
    <w:rsid w:val="008A6ADA"/>
    <w:rsid w:val="008A6AEF"/>
    <w:rsid w:val="008A6DD6"/>
    <w:rsid w:val="008A7840"/>
    <w:rsid w:val="008A7E5D"/>
    <w:rsid w:val="008B0723"/>
    <w:rsid w:val="008B4A4D"/>
    <w:rsid w:val="008B648F"/>
    <w:rsid w:val="008B7C66"/>
    <w:rsid w:val="008C274E"/>
    <w:rsid w:val="008C7F3F"/>
    <w:rsid w:val="008E12BA"/>
    <w:rsid w:val="008E4AA8"/>
    <w:rsid w:val="008E7F42"/>
    <w:rsid w:val="008F6450"/>
    <w:rsid w:val="009000D2"/>
    <w:rsid w:val="00902B14"/>
    <w:rsid w:val="0090436E"/>
    <w:rsid w:val="009078E0"/>
    <w:rsid w:val="00912F0F"/>
    <w:rsid w:val="009155F8"/>
    <w:rsid w:val="00916C44"/>
    <w:rsid w:val="009210D1"/>
    <w:rsid w:val="009216B9"/>
    <w:rsid w:val="009217A9"/>
    <w:rsid w:val="009228FB"/>
    <w:rsid w:val="00922EFA"/>
    <w:rsid w:val="00923E37"/>
    <w:rsid w:val="009244FD"/>
    <w:rsid w:val="00924593"/>
    <w:rsid w:val="0092732D"/>
    <w:rsid w:val="00930DB1"/>
    <w:rsid w:val="009356A0"/>
    <w:rsid w:val="009368BF"/>
    <w:rsid w:val="00940F6D"/>
    <w:rsid w:val="009411C5"/>
    <w:rsid w:val="00942FE7"/>
    <w:rsid w:val="009443FA"/>
    <w:rsid w:val="0094704C"/>
    <w:rsid w:val="009474E4"/>
    <w:rsid w:val="009524F7"/>
    <w:rsid w:val="00954F02"/>
    <w:rsid w:val="009556F2"/>
    <w:rsid w:val="009578D8"/>
    <w:rsid w:val="00963A55"/>
    <w:rsid w:val="00970171"/>
    <w:rsid w:val="0097047A"/>
    <w:rsid w:val="009879C9"/>
    <w:rsid w:val="009926F0"/>
    <w:rsid w:val="00994955"/>
    <w:rsid w:val="00996427"/>
    <w:rsid w:val="00996513"/>
    <w:rsid w:val="00996864"/>
    <w:rsid w:val="009A18FF"/>
    <w:rsid w:val="009A39E2"/>
    <w:rsid w:val="009A3DF6"/>
    <w:rsid w:val="009A6450"/>
    <w:rsid w:val="009B2602"/>
    <w:rsid w:val="009B3A9E"/>
    <w:rsid w:val="009B444E"/>
    <w:rsid w:val="009B5693"/>
    <w:rsid w:val="009B5A45"/>
    <w:rsid w:val="009B5F98"/>
    <w:rsid w:val="009B70FD"/>
    <w:rsid w:val="009B76C4"/>
    <w:rsid w:val="009B7854"/>
    <w:rsid w:val="009C1C4A"/>
    <w:rsid w:val="009C3F48"/>
    <w:rsid w:val="009D034F"/>
    <w:rsid w:val="009D2722"/>
    <w:rsid w:val="009D3EE1"/>
    <w:rsid w:val="009D6002"/>
    <w:rsid w:val="009D73D4"/>
    <w:rsid w:val="009E25DE"/>
    <w:rsid w:val="009E352C"/>
    <w:rsid w:val="009E509C"/>
    <w:rsid w:val="009F3BD6"/>
    <w:rsid w:val="009F5BFE"/>
    <w:rsid w:val="009F5DFB"/>
    <w:rsid w:val="009F6367"/>
    <w:rsid w:val="009F714B"/>
    <w:rsid w:val="00A0307B"/>
    <w:rsid w:val="00A04D27"/>
    <w:rsid w:val="00A06625"/>
    <w:rsid w:val="00A1024A"/>
    <w:rsid w:val="00A145E3"/>
    <w:rsid w:val="00A17100"/>
    <w:rsid w:val="00A17594"/>
    <w:rsid w:val="00A20E6B"/>
    <w:rsid w:val="00A23E77"/>
    <w:rsid w:val="00A30886"/>
    <w:rsid w:val="00A33E5D"/>
    <w:rsid w:val="00A40C5B"/>
    <w:rsid w:val="00A41F6A"/>
    <w:rsid w:val="00A440B5"/>
    <w:rsid w:val="00A44212"/>
    <w:rsid w:val="00A443EB"/>
    <w:rsid w:val="00A46642"/>
    <w:rsid w:val="00A46C8A"/>
    <w:rsid w:val="00A47985"/>
    <w:rsid w:val="00A50545"/>
    <w:rsid w:val="00A56F2F"/>
    <w:rsid w:val="00A57EC3"/>
    <w:rsid w:val="00A60F46"/>
    <w:rsid w:val="00A62FA4"/>
    <w:rsid w:val="00A65EC2"/>
    <w:rsid w:val="00A743C4"/>
    <w:rsid w:val="00A761FD"/>
    <w:rsid w:val="00A77B6E"/>
    <w:rsid w:val="00A84F4A"/>
    <w:rsid w:val="00A94B28"/>
    <w:rsid w:val="00A964DA"/>
    <w:rsid w:val="00AA36F1"/>
    <w:rsid w:val="00AA4CB7"/>
    <w:rsid w:val="00AA5EBB"/>
    <w:rsid w:val="00AB032F"/>
    <w:rsid w:val="00AB3341"/>
    <w:rsid w:val="00AB4E81"/>
    <w:rsid w:val="00AB7289"/>
    <w:rsid w:val="00AC405B"/>
    <w:rsid w:val="00AC4611"/>
    <w:rsid w:val="00AC5994"/>
    <w:rsid w:val="00AC5DF2"/>
    <w:rsid w:val="00AC7532"/>
    <w:rsid w:val="00AC76B1"/>
    <w:rsid w:val="00AD2346"/>
    <w:rsid w:val="00AD29FF"/>
    <w:rsid w:val="00AD3354"/>
    <w:rsid w:val="00AD3445"/>
    <w:rsid w:val="00AD39B8"/>
    <w:rsid w:val="00AD4109"/>
    <w:rsid w:val="00AE1652"/>
    <w:rsid w:val="00AE458D"/>
    <w:rsid w:val="00AE57AC"/>
    <w:rsid w:val="00AE58C8"/>
    <w:rsid w:val="00AE7EEA"/>
    <w:rsid w:val="00AF0508"/>
    <w:rsid w:val="00AF76F1"/>
    <w:rsid w:val="00B02610"/>
    <w:rsid w:val="00B0734D"/>
    <w:rsid w:val="00B108BF"/>
    <w:rsid w:val="00B1556B"/>
    <w:rsid w:val="00B1592D"/>
    <w:rsid w:val="00B220C5"/>
    <w:rsid w:val="00B27D88"/>
    <w:rsid w:val="00B331CE"/>
    <w:rsid w:val="00B33483"/>
    <w:rsid w:val="00B3490C"/>
    <w:rsid w:val="00B35804"/>
    <w:rsid w:val="00B40714"/>
    <w:rsid w:val="00B4391E"/>
    <w:rsid w:val="00B44C77"/>
    <w:rsid w:val="00B47632"/>
    <w:rsid w:val="00B513FB"/>
    <w:rsid w:val="00B51AB2"/>
    <w:rsid w:val="00B52960"/>
    <w:rsid w:val="00B57BAC"/>
    <w:rsid w:val="00B64203"/>
    <w:rsid w:val="00B64697"/>
    <w:rsid w:val="00B65CE5"/>
    <w:rsid w:val="00B70E23"/>
    <w:rsid w:val="00B736B3"/>
    <w:rsid w:val="00B75324"/>
    <w:rsid w:val="00B75CF4"/>
    <w:rsid w:val="00B75EEC"/>
    <w:rsid w:val="00B76599"/>
    <w:rsid w:val="00B76AD6"/>
    <w:rsid w:val="00B77F16"/>
    <w:rsid w:val="00B83F14"/>
    <w:rsid w:val="00B83F5D"/>
    <w:rsid w:val="00B8464E"/>
    <w:rsid w:val="00B85885"/>
    <w:rsid w:val="00B85C6D"/>
    <w:rsid w:val="00B8760E"/>
    <w:rsid w:val="00B900C5"/>
    <w:rsid w:val="00B93A78"/>
    <w:rsid w:val="00B94A7D"/>
    <w:rsid w:val="00B94C10"/>
    <w:rsid w:val="00B94FF5"/>
    <w:rsid w:val="00B95A8F"/>
    <w:rsid w:val="00B97771"/>
    <w:rsid w:val="00BA1B82"/>
    <w:rsid w:val="00BA1DDE"/>
    <w:rsid w:val="00BA2309"/>
    <w:rsid w:val="00BB0BF5"/>
    <w:rsid w:val="00BB1158"/>
    <w:rsid w:val="00BC00CA"/>
    <w:rsid w:val="00BC014B"/>
    <w:rsid w:val="00BC5398"/>
    <w:rsid w:val="00BD24E5"/>
    <w:rsid w:val="00BD2FE4"/>
    <w:rsid w:val="00BD33B7"/>
    <w:rsid w:val="00BD379A"/>
    <w:rsid w:val="00BD6245"/>
    <w:rsid w:val="00BD6672"/>
    <w:rsid w:val="00BD7F8E"/>
    <w:rsid w:val="00BE0B61"/>
    <w:rsid w:val="00BE1464"/>
    <w:rsid w:val="00BE19CF"/>
    <w:rsid w:val="00BE5922"/>
    <w:rsid w:val="00BE5C07"/>
    <w:rsid w:val="00BE6DF6"/>
    <w:rsid w:val="00BE740F"/>
    <w:rsid w:val="00BE7426"/>
    <w:rsid w:val="00BE7985"/>
    <w:rsid w:val="00BF5048"/>
    <w:rsid w:val="00BF53BE"/>
    <w:rsid w:val="00BF7591"/>
    <w:rsid w:val="00C035ED"/>
    <w:rsid w:val="00C036F9"/>
    <w:rsid w:val="00C05CFD"/>
    <w:rsid w:val="00C0787D"/>
    <w:rsid w:val="00C0790E"/>
    <w:rsid w:val="00C121B9"/>
    <w:rsid w:val="00C1686D"/>
    <w:rsid w:val="00C17A90"/>
    <w:rsid w:val="00C258F6"/>
    <w:rsid w:val="00C27B05"/>
    <w:rsid w:val="00C319E1"/>
    <w:rsid w:val="00C45F66"/>
    <w:rsid w:val="00C47CE4"/>
    <w:rsid w:val="00C541F7"/>
    <w:rsid w:val="00C576E9"/>
    <w:rsid w:val="00C6080B"/>
    <w:rsid w:val="00C619FF"/>
    <w:rsid w:val="00C63937"/>
    <w:rsid w:val="00C648F7"/>
    <w:rsid w:val="00C67DBE"/>
    <w:rsid w:val="00C71AEB"/>
    <w:rsid w:val="00C728AF"/>
    <w:rsid w:val="00C80CC2"/>
    <w:rsid w:val="00C81938"/>
    <w:rsid w:val="00C82650"/>
    <w:rsid w:val="00C850D3"/>
    <w:rsid w:val="00C951CD"/>
    <w:rsid w:val="00CA2BF7"/>
    <w:rsid w:val="00CA3D98"/>
    <w:rsid w:val="00CA5D6D"/>
    <w:rsid w:val="00CA6791"/>
    <w:rsid w:val="00CB4655"/>
    <w:rsid w:val="00CB5CA0"/>
    <w:rsid w:val="00CB6352"/>
    <w:rsid w:val="00CB6B28"/>
    <w:rsid w:val="00CB7896"/>
    <w:rsid w:val="00CC3665"/>
    <w:rsid w:val="00CC3729"/>
    <w:rsid w:val="00CC3935"/>
    <w:rsid w:val="00CC5A31"/>
    <w:rsid w:val="00CC5B17"/>
    <w:rsid w:val="00CC6613"/>
    <w:rsid w:val="00CC7883"/>
    <w:rsid w:val="00CD21D6"/>
    <w:rsid w:val="00CD438F"/>
    <w:rsid w:val="00CE48F7"/>
    <w:rsid w:val="00CE6AE7"/>
    <w:rsid w:val="00CF334E"/>
    <w:rsid w:val="00CF41B4"/>
    <w:rsid w:val="00CF50A2"/>
    <w:rsid w:val="00D029EA"/>
    <w:rsid w:val="00D03EA9"/>
    <w:rsid w:val="00D0731C"/>
    <w:rsid w:val="00D10C94"/>
    <w:rsid w:val="00D12BB6"/>
    <w:rsid w:val="00D1364F"/>
    <w:rsid w:val="00D13F97"/>
    <w:rsid w:val="00D14C3C"/>
    <w:rsid w:val="00D1600E"/>
    <w:rsid w:val="00D21606"/>
    <w:rsid w:val="00D21CA5"/>
    <w:rsid w:val="00D22428"/>
    <w:rsid w:val="00D22F7B"/>
    <w:rsid w:val="00D241B0"/>
    <w:rsid w:val="00D24C3E"/>
    <w:rsid w:val="00D25F20"/>
    <w:rsid w:val="00D318C8"/>
    <w:rsid w:val="00D336A9"/>
    <w:rsid w:val="00D33C92"/>
    <w:rsid w:val="00D33CA5"/>
    <w:rsid w:val="00D33DBF"/>
    <w:rsid w:val="00D33E7B"/>
    <w:rsid w:val="00D35638"/>
    <w:rsid w:val="00D36071"/>
    <w:rsid w:val="00D37DC7"/>
    <w:rsid w:val="00D40BC2"/>
    <w:rsid w:val="00D415E3"/>
    <w:rsid w:val="00D43FF3"/>
    <w:rsid w:val="00D44E4D"/>
    <w:rsid w:val="00D50E78"/>
    <w:rsid w:val="00D50FCA"/>
    <w:rsid w:val="00D52D4E"/>
    <w:rsid w:val="00D66A70"/>
    <w:rsid w:val="00D749A6"/>
    <w:rsid w:val="00D74ADE"/>
    <w:rsid w:val="00D82535"/>
    <w:rsid w:val="00D82754"/>
    <w:rsid w:val="00D86347"/>
    <w:rsid w:val="00D8652B"/>
    <w:rsid w:val="00D87859"/>
    <w:rsid w:val="00D87CF0"/>
    <w:rsid w:val="00D90474"/>
    <w:rsid w:val="00D92FE5"/>
    <w:rsid w:val="00D96935"/>
    <w:rsid w:val="00D96CD1"/>
    <w:rsid w:val="00D97EFB"/>
    <w:rsid w:val="00DA0482"/>
    <w:rsid w:val="00DA605C"/>
    <w:rsid w:val="00DB4D85"/>
    <w:rsid w:val="00DB5663"/>
    <w:rsid w:val="00DC0388"/>
    <w:rsid w:val="00DC44E7"/>
    <w:rsid w:val="00DC59F1"/>
    <w:rsid w:val="00DC6B19"/>
    <w:rsid w:val="00DC7A9F"/>
    <w:rsid w:val="00DD147F"/>
    <w:rsid w:val="00DD518A"/>
    <w:rsid w:val="00DD52ED"/>
    <w:rsid w:val="00DD54D1"/>
    <w:rsid w:val="00DD56C2"/>
    <w:rsid w:val="00DD68C9"/>
    <w:rsid w:val="00DE3982"/>
    <w:rsid w:val="00DF06C6"/>
    <w:rsid w:val="00DF196D"/>
    <w:rsid w:val="00DF27E2"/>
    <w:rsid w:val="00DF2F21"/>
    <w:rsid w:val="00DF4F16"/>
    <w:rsid w:val="00DF6901"/>
    <w:rsid w:val="00DF6908"/>
    <w:rsid w:val="00E004D1"/>
    <w:rsid w:val="00E017A8"/>
    <w:rsid w:val="00E05DED"/>
    <w:rsid w:val="00E07A8B"/>
    <w:rsid w:val="00E1153E"/>
    <w:rsid w:val="00E13093"/>
    <w:rsid w:val="00E14549"/>
    <w:rsid w:val="00E14584"/>
    <w:rsid w:val="00E14C54"/>
    <w:rsid w:val="00E1732E"/>
    <w:rsid w:val="00E20927"/>
    <w:rsid w:val="00E21D0D"/>
    <w:rsid w:val="00E23886"/>
    <w:rsid w:val="00E24D88"/>
    <w:rsid w:val="00E2521A"/>
    <w:rsid w:val="00E26E85"/>
    <w:rsid w:val="00E31A2D"/>
    <w:rsid w:val="00E332DA"/>
    <w:rsid w:val="00E3537B"/>
    <w:rsid w:val="00E40E09"/>
    <w:rsid w:val="00E4139A"/>
    <w:rsid w:val="00E47DE6"/>
    <w:rsid w:val="00E50248"/>
    <w:rsid w:val="00E510B9"/>
    <w:rsid w:val="00E52D73"/>
    <w:rsid w:val="00E63805"/>
    <w:rsid w:val="00E653A7"/>
    <w:rsid w:val="00E708FB"/>
    <w:rsid w:val="00E70A00"/>
    <w:rsid w:val="00E73710"/>
    <w:rsid w:val="00E73CC1"/>
    <w:rsid w:val="00E73FD0"/>
    <w:rsid w:val="00E75807"/>
    <w:rsid w:val="00E77E36"/>
    <w:rsid w:val="00E80619"/>
    <w:rsid w:val="00E82021"/>
    <w:rsid w:val="00E84049"/>
    <w:rsid w:val="00E862A0"/>
    <w:rsid w:val="00E90097"/>
    <w:rsid w:val="00E95F13"/>
    <w:rsid w:val="00EA1210"/>
    <w:rsid w:val="00EA3387"/>
    <w:rsid w:val="00EA40FF"/>
    <w:rsid w:val="00EA44C6"/>
    <w:rsid w:val="00EB1330"/>
    <w:rsid w:val="00EB1A27"/>
    <w:rsid w:val="00EB38B8"/>
    <w:rsid w:val="00EB557F"/>
    <w:rsid w:val="00EC2C92"/>
    <w:rsid w:val="00EC40C8"/>
    <w:rsid w:val="00EC5032"/>
    <w:rsid w:val="00EC5658"/>
    <w:rsid w:val="00ED7E54"/>
    <w:rsid w:val="00EE1DD7"/>
    <w:rsid w:val="00EF3DDA"/>
    <w:rsid w:val="00F011D8"/>
    <w:rsid w:val="00F02AE5"/>
    <w:rsid w:val="00F057F1"/>
    <w:rsid w:val="00F1134D"/>
    <w:rsid w:val="00F11F59"/>
    <w:rsid w:val="00F12A3D"/>
    <w:rsid w:val="00F1526F"/>
    <w:rsid w:val="00F17B59"/>
    <w:rsid w:val="00F20592"/>
    <w:rsid w:val="00F23087"/>
    <w:rsid w:val="00F23E5E"/>
    <w:rsid w:val="00F274DD"/>
    <w:rsid w:val="00F307EC"/>
    <w:rsid w:val="00F331DA"/>
    <w:rsid w:val="00F40058"/>
    <w:rsid w:val="00F40170"/>
    <w:rsid w:val="00F420C8"/>
    <w:rsid w:val="00F43A35"/>
    <w:rsid w:val="00F43BE9"/>
    <w:rsid w:val="00F4428E"/>
    <w:rsid w:val="00F45F27"/>
    <w:rsid w:val="00F47C34"/>
    <w:rsid w:val="00F629C8"/>
    <w:rsid w:val="00F74B5E"/>
    <w:rsid w:val="00F74CEA"/>
    <w:rsid w:val="00F751DB"/>
    <w:rsid w:val="00F7567B"/>
    <w:rsid w:val="00F76B1D"/>
    <w:rsid w:val="00F77C78"/>
    <w:rsid w:val="00F814AC"/>
    <w:rsid w:val="00F82DAE"/>
    <w:rsid w:val="00F85FC7"/>
    <w:rsid w:val="00F90734"/>
    <w:rsid w:val="00F90EB5"/>
    <w:rsid w:val="00F91EBF"/>
    <w:rsid w:val="00F93536"/>
    <w:rsid w:val="00F93548"/>
    <w:rsid w:val="00F97A8B"/>
    <w:rsid w:val="00FA23A5"/>
    <w:rsid w:val="00FA2934"/>
    <w:rsid w:val="00FB013E"/>
    <w:rsid w:val="00FB20FC"/>
    <w:rsid w:val="00FB419D"/>
    <w:rsid w:val="00FC13E1"/>
    <w:rsid w:val="00FC2E54"/>
    <w:rsid w:val="00FC3EBD"/>
    <w:rsid w:val="00FC5D13"/>
    <w:rsid w:val="00FC64D6"/>
    <w:rsid w:val="00FD021B"/>
    <w:rsid w:val="00FD1454"/>
    <w:rsid w:val="00FD51B2"/>
    <w:rsid w:val="00FD69FE"/>
    <w:rsid w:val="00FD6D64"/>
    <w:rsid w:val="00FD768F"/>
    <w:rsid w:val="00FE0D71"/>
    <w:rsid w:val="00FE2129"/>
    <w:rsid w:val="00FE2C11"/>
    <w:rsid w:val="00FE304D"/>
    <w:rsid w:val="00FE754F"/>
    <w:rsid w:val="00FE7B6D"/>
    <w:rsid w:val="00FF0891"/>
    <w:rsid w:val="00FF0C74"/>
    <w:rsid w:val="00FF330F"/>
    <w:rsid w:val="00FF5819"/>
    <w:rsid w:val="00FF681C"/>
    <w:rsid w:val="00FF6F42"/>
  </w:rsids>
  <m:mathPr>
    <m:mathFont m:val="Cambria Math"/>
    <m:brkBin m:val="before"/>
    <m:brkBinSub m:val="--"/>
    <m:smallFrac m:val="off"/>
    <m:dispDef m:val="of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Title" w:qFormat="1"/>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303"/>
  </w:style>
  <w:style w:type="paragraph" w:styleId="Heading1">
    <w:name w:val="heading 1"/>
    <w:basedOn w:val="Normal"/>
    <w:next w:val="Normal"/>
    <w:link w:val="Heading1Char"/>
    <w:uiPriority w:val="9"/>
    <w:qFormat/>
    <w:rsid w:val="000F2E2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4D85"/>
    <w:pPr>
      <w:tabs>
        <w:tab w:val="center" w:pos="4320"/>
        <w:tab w:val="right" w:pos="8640"/>
      </w:tabs>
    </w:pPr>
  </w:style>
  <w:style w:type="character" w:customStyle="1" w:styleId="HeaderChar">
    <w:name w:val="Header Char"/>
    <w:basedOn w:val="DefaultParagraphFont"/>
    <w:link w:val="Header"/>
    <w:uiPriority w:val="99"/>
    <w:semiHidden/>
    <w:rsid w:val="00DB4D85"/>
  </w:style>
  <w:style w:type="character" w:styleId="PageNumber">
    <w:name w:val="page number"/>
    <w:basedOn w:val="DefaultParagraphFont"/>
    <w:uiPriority w:val="99"/>
    <w:semiHidden/>
    <w:unhideWhenUsed/>
    <w:rsid w:val="00DB4D85"/>
  </w:style>
  <w:style w:type="paragraph" w:styleId="BodyTextIndent">
    <w:name w:val="Body Text Indent"/>
    <w:basedOn w:val="Normal"/>
    <w:link w:val="BodyTextIndentChar"/>
    <w:rsid w:val="00CA6791"/>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A6791"/>
    <w:rPr>
      <w:rFonts w:ascii="Times New Roman" w:eastAsia="Times New Roman" w:hAnsi="Times New Roman" w:cs="Times New Roman"/>
    </w:rPr>
  </w:style>
  <w:style w:type="paragraph" w:styleId="Title">
    <w:name w:val="Title"/>
    <w:basedOn w:val="Normal"/>
    <w:link w:val="TitleChar"/>
    <w:qFormat/>
    <w:rsid w:val="00304EA1"/>
    <w:pPr>
      <w:spacing w:line="360" w:lineRule="auto"/>
      <w:jc w:val="center"/>
    </w:pPr>
    <w:rPr>
      <w:rFonts w:ascii="Times New Roman" w:eastAsia="Times New Roman" w:hAnsi="Times New Roman" w:cs="Times New Roman"/>
      <w:b/>
      <w:bCs/>
      <w:lang w:val="en-GB"/>
    </w:rPr>
  </w:style>
  <w:style w:type="character" w:customStyle="1" w:styleId="TitleChar">
    <w:name w:val="Title Char"/>
    <w:basedOn w:val="DefaultParagraphFont"/>
    <w:link w:val="Title"/>
    <w:rsid w:val="00304EA1"/>
    <w:rPr>
      <w:rFonts w:ascii="Times New Roman" w:eastAsia="Times New Roman" w:hAnsi="Times New Roman" w:cs="Times New Roman"/>
      <w:b/>
      <w:bCs/>
      <w:lang w:val="en-GB"/>
    </w:rPr>
  </w:style>
  <w:style w:type="paragraph" w:styleId="NormalWeb">
    <w:name w:val="Normal (Web)"/>
    <w:basedOn w:val="Normal"/>
    <w:uiPriority w:val="99"/>
    <w:rsid w:val="009A18F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rsid w:val="00D43FF3"/>
    <w:rPr>
      <w:rFonts w:ascii="Tahoma" w:hAnsi="Tahoma" w:cs="Tahoma"/>
      <w:sz w:val="16"/>
      <w:szCs w:val="16"/>
    </w:rPr>
  </w:style>
  <w:style w:type="character" w:customStyle="1" w:styleId="BalloonTextChar">
    <w:name w:val="Balloon Text Char"/>
    <w:basedOn w:val="DefaultParagraphFont"/>
    <w:link w:val="BalloonText"/>
    <w:rsid w:val="00D43FF3"/>
    <w:rPr>
      <w:rFonts w:ascii="Tahoma" w:hAnsi="Tahoma" w:cs="Tahoma"/>
      <w:sz w:val="16"/>
      <w:szCs w:val="16"/>
    </w:rPr>
  </w:style>
  <w:style w:type="character" w:styleId="CommentReference">
    <w:name w:val="annotation reference"/>
    <w:basedOn w:val="DefaultParagraphFont"/>
    <w:rsid w:val="005E7BCC"/>
    <w:rPr>
      <w:sz w:val="16"/>
      <w:szCs w:val="16"/>
    </w:rPr>
  </w:style>
  <w:style w:type="paragraph" w:styleId="CommentText">
    <w:name w:val="annotation text"/>
    <w:basedOn w:val="Normal"/>
    <w:link w:val="CommentTextChar"/>
    <w:rsid w:val="005E7BCC"/>
    <w:rPr>
      <w:sz w:val="20"/>
      <w:szCs w:val="20"/>
    </w:rPr>
  </w:style>
  <w:style w:type="character" w:customStyle="1" w:styleId="CommentTextChar">
    <w:name w:val="Comment Text Char"/>
    <w:basedOn w:val="DefaultParagraphFont"/>
    <w:link w:val="CommentText"/>
    <w:rsid w:val="005E7BCC"/>
    <w:rPr>
      <w:sz w:val="20"/>
      <w:szCs w:val="20"/>
    </w:rPr>
  </w:style>
  <w:style w:type="paragraph" w:styleId="CommentSubject">
    <w:name w:val="annotation subject"/>
    <w:basedOn w:val="CommentText"/>
    <w:next w:val="CommentText"/>
    <w:link w:val="CommentSubjectChar"/>
    <w:rsid w:val="005E7BCC"/>
    <w:rPr>
      <w:b/>
      <w:bCs/>
    </w:rPr>
  </w:style>
  <w:style w:type="character" w:customStyle="1" w:styleId="CommentSubjectChar">
    <w:name w:val="Comment Subject Char"/>
    <w:basedOn w:val="CommentTextChar"/>
    <w:link w:val="CommentSubject"/>
    <w:rsid w:val="005E7BCC"/>
    <w:rPr>
      <w:b/>
      <w:bCs/>
      <w:sz w:val="20"/>
      <w:szCs w:val="20"/>
    </w:rPr>
  </w:style>
  <w:style w:type="paragraph" w:styleId="Revision">
    <w:name w:val="Revision"/>
    <w:hidden/>
    <w:rsid w:val="00D03EA9"/>
  </w:style>
  <w:style w:type="character" w:styleId="Hyperlink">
    <w:name w:val="Hyperlink"/>
    <w:basedOn w:val="DefaultParagraphFont"/>
    <w:uiPriority w:val="99"/>
    <w:unhideWhenUsed/>
    <w:rsid w:val="008467CC"/>
    <w:rPr>
      <w:color w:val="0000FF"/>
      <w:u w:val="single"/>
    </w:rPr>
  </w:style>
  <w:style w:type="character" w:styleId="LineNumber">
    <w:name w:val="line number"/>
    <w:basedOn w:val="DefaultParagraphFont"/>
    <w:rsid w:val="000B6159"/>
  </w:style>
  <w:style w:type="paragraph" w:styleId="Bibliography">
    <w:name w:val="Bibliography"/>
    <w:basedOn w:val="Normal"/>
    <w:next w:val="Normal"/>
    <w:uiPriority w:val="37"/>
    <w:unhideWhenUsed/>
    <w:rsid w:val="000F2E2D"/>
  </w:style>
  <w:style w:type="character" w:customStyle="1" w:styleId="Heading1Char">
    <w:name w:val="Heading 1 Char"/>
    <w:basedOn w:val="DefaultParagraphFont"/>
    <w:link w:val="Heading1"/>
    <w:uiPriority w:val="9"/>
    <w:rsid w:val="000F2E2D"/>
    <w:rPr>
      <w:rFonts w:asciiTheme="majorHAnsi" w:eastAsiaTheme="majorEastAsia" w:hAnsiTheme="majorHAnsi" w:cstheme="majorBidi"/>
      <w:b/>
      <w:bCs/>
      <w:color w:val="365F91" w:themeColor="accent1" w:themeShade="BF"/>
      <w:sz w:val="28"/>
      <w:szCs w:val="28"/>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735886">
      <w:bodyDiv w:val="1"/>
      <w:marLeft w:val="0"/>
      <w:marRight w:val="0"/>
      <w:marTop w:val="0"/>
      <w:marBottom w:val="0"/>
      <w:divBdr>
        <w:top w:val="none" w:sz="0" w:space="0" w:color="auto"/>
        <w:left w:val="none" w:sz="0" w:space="0" w:color="auto"/>
        <w:bottom w:val="none" w:sz="0" w:space="0" w:color="auto"/>
        <w:right w:val="none" w:sz="0" w:space="0" w:color="auto"/>
      </w:divBdr>
    </w:div>
    <w:div w:id="422143087">
      <w:bodyDiv w:val="1"/>
      <w:marLeft w:val="0"/>
      <w:marRight w:val="0"/>
      <w:marTop w:val="0"/>
      <w:marBottom w:val="0"/>
      <w:divBdr>
        <w:top w:val="none" w:sz="0" w:space="0" w:color="auto"/>
        <w:left w:val="none" w:sz="0" w:space="0" w:color="auto"/>
        <w:bottom w:val="none" w:sz="0" w:space="0" w:color="auto"/>
        <w:right w:val="none" w:sz="0" w:space="0" w:color="auto"/>
      </w:divBdr>
    </w:div>
    <w:div w:id="714935866">
      <w:bodyDiv w:val="1"/>
      <w:marLeft w:val="0"/>
      <w:marRight w:val="0"/>
      <w:marTop w:val="0"/>
      <w:marBottom w:val="0"/>
      <w:divBdr>
        <w:top w:val="none" w:sz="0" w:space="0" w:color="auto"/>
        <w:left w:val="none" w:sz="0" w:space="0" w:color="auto"/>
        <w:bottom w:val="none" w:sz="0" w:space="0" w:color="auto"/>
        <w:right w:val="none" w:sz="0" w:space="0" w:color="auto"/>
      </w:divBdr>
    </w:div>
    <w:div w:id="82971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Schlumberger</b:Tag>
    <b:SourceType>ConferenceProceedings</b:SourceType>
    <b:Guid>{0AAB9E41-04DD-4D75-97EC-1427D13EA060}</b:Guid>
    <b:LCID>2115</b:LCID>
    <b:Author>
      <b:Author>
        <b:Corporate>Schlumberger</b:Corporate>
      </b:Author>
    </b:Author>
    <b:Title>Well Evaluation Conference</b:Title>
    <b:Pages>87</b:Pages>
    <b:Year>1995</b:Year>
    <b:City>Egypt</b:City>
    <b:RefOrder>1</b:RefOrder>
  </b:Source>
</b:Sources>
</file>

<file path=customXml/itemProps1.xml><?xml version="1.0" encoding="utf-8"?>
<ds:datastoreItem xmlns:ds="http://schemas.openxmlformats.org/officeDocument/2006/customXml" ds:itemID="{BFC35C0B-E7C3-47F5-99B9-F8E283F5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20</Pages>
  <Words>5122</Words>
  <Characters>29197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2010-07-19T01:00:00Z</cp:lastPrinted>
  <dcterms:created xsi:type="dcterms:W3CDTF">2010-11-16T16:19:00Z</dcterms:created>
  <dcterms:modified xsi:type="dcterms:W3CDTF">2011-06-13T00:17:00Z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&lt;data&gt;&lt;session id="iPz6roxD"/&gt;&lt;style id="http://www.zotero.org/styles/elsevier-harvard" hasBibliography="0"/&gt;&lt;prefs&gt;&lt;pref name="fieldType" value="Field"/&gt;&lt;pref name="noteType" value="0"/&gt;&lt;/prefs&gt;&lt;/data&gt;</vt:lpwstr>
  </property>
</Properties>
</file>